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246"/>
        <w:gridCol w:w="425"/>
        <w:gridCol w:w="425"/>
        <w:gridCol w:w="463"/>
        <w:gridCol w:w="389"/>
        <w:gridCol w:w="425"/>
        <w:gridCol w:w="6982"/>
      </w:tblGrid>
      <w:tr w:rsidR="00747D0F" w:rsidRPr="009A1E98" w:rsidTr="00585691">
        <w:trPr>
          <w:trHeight w:val="292"/>
        </w:trPr>
        <w:tc>
          <w:tcPr>
            <w:tcW w:w="5246" w:type="dxa"/>
            <w:vMerge w:val="restart"/>
            <w:shd w:val="clear" w:color="auto" w:fill="F7A5FD"/>
          </w:tcPr>
          <w:p w:rsidR="00747D0F" w:rsidRPr="009A1E98" w:rsidRDefault="00747D0F" w:rsidP="005F3C1E">
            <w:pPr>
              <w:pStyle w:val="TableParagraph"/>
              <w:spacing w:line="292" w:lineRule="exact"/>
              <w:ind w:left="1074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105"/>
                <w:sz w:val="16"/>
                <w:szCs w:val="16"/>
              </w:rPr>
              <w:t>Assessment criteria</w:t>
            </w:r>
          </w:p>
        </w:tc>
        <w:tc>
          <w:tcPr>
            <w:tcW w:w="2373" w:type="dxa"/>
            <w:gridSpan w:val="6"/>
            <w:shd w:val="clear" w:color="auto" w:fill="C984FC"/>
          </w:tcPr>
          <w:p w:rsidR="00747D0F" w:rsidRPr="009A1E98" w:rsidRDefault="00747D0F" w:rsidP="005F3C1E">
            <w:pPr>
              <w:pStyle w:val="TableParagraph"/>
              <w:spacing w:line="272" w:lineRule="exact"/>
              <w:ind w:left="390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Degree of success</w:t>
            </w:r>
          </w:p>
        </w:tc>
        <w:tc>
          <w:tcPr>
            <w:tcW w:w="6982" w:type="dxa"/>
            <w:vMerge w:val="restart"/>
            <w:shd w:val="clear" w:color="auto" w:fill="A599FD"/>
          </w:tcPr>
          <w:p w:rsidR="00747D0F" w:rsidRPr="009A1E98" w:rsidRDefault="00747D0F" w:rsidP="005F3C1E">
            <w:pPr>
              <w:pStyle w:val="TableParagraph"/>
              <w:spacing w:line="292" w:lineRule="exact"/>
              <w:ind w:left="814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Comments</w:t>
            </w:r>
          </w:p>
        </w:tc>
      </w:tr>
      <w:tr w:rsidR="00747D0F" w:rsidRPr="009A1E98" w:rsidTr="00585691">
        <w:trPr>
          <w:trHeight w:val="244"/>
        </w:trPr>
        <w:tc>
          <w:tcPr>
            <w:tcW w:w="5246" w:type="dxa"/>
            <w:vMerge/>
            <w:tcBorders>
              <w:top w:val="nil"/>
            </w:tcBorders>
            <w:shd w:val="clear" w:color="auto" w:fill="F7A5FD"/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3</w:t>
            </w: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99"/>
                <w:sz w:val="16"/>
                <w:szCs w:val="16"/>
              </w:rPr>
              <w:t>5</w:t>
            </w:r>
          </w:p>
        </w:tc>
        <w:tc>
          <w:tcPr>
            <w:tcW w:w="6982" w:type="dxa"/>
            <w:vMerge/>
            <w:tcBorders>
              <w:top w:val="nil"/>
            </w:tcBorders>
            <w:shd w:val="clear" w:color="auto" w:fill="A599FD"/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244"/>
        </w:trPr>
        <w:tc>
          <w:tcPr>
            <w:tcW w:w="14601" w:type="dxa"/>
            <w:gridSpan w:val="8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244"/>
        </w:trPr>
        <w:tc>
          <w:tcPr>
            <w:tcW w:w="14601" w:type="dxa"/>
            <w:gridSpan w:val="8"/>
            <w:shd w:val="clear" w:color="auto" w:fill="DCDCDC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Content</w:t>
            </w:r>
          </w:p>
        </w:tc>
      </w:tr>
      <w:tr w:rsidR="00747D0F" w:rsidRPr="009A1E98" w:rsidTr="00585691">
        <w:trPr>
          <w:trHeight w:val="336"/>
        </w:trPr>
        <w:tc>
          <w:tcPr>
            <w:tcW w:w="5246" w:type="dxa"/>
          </w:tcPr>
          <w:p w:rsidR="00747D0F" w:rsidRPr="009A1E98" w:rsidRDefault="00747D0F" w:rsidP="006E08CF">
            <w:pPr>
              <w:pStyle w:val="TableParagraph"/>
              <w:ind w:left="107" w:right="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 range of assessment tools, tasks, techniques and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agents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assessment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are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used,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contributing to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complete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assessment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plan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which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Pr="009A1E98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strong</w:t>
            </w:r>
            <w:r w:rsidR="006E08CF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in terms of reliability and validity.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 w:val="restart"/>
          </w:tcPr>
          <w:p w:rsidR="00747D0F" w:rsidRPr="009A1E98" w:rsidRDefault="006E08CF" w:rsidP="006E08C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I provide a wide range of the methods to assess the students daily in order to gather information for a reliable result. </w:t>
            </w:r>
          </w:p>
          <w:p w:rsidR="006E08CF" w:rsidRPr="009A1E98" w:rsidRDefault="006E08CF" w:rsidP="006E08C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355A" w:rsidRPr="009A1E98" w:rsidRDefault="006E08CF" w:rsidP="006E08C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Everyday assessment through diverse instruments of observation </w:t>
            </w:r>
            <w:r w:rsidR="004F355A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such as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written notes, rubrics, activities, interviews, games and TIC sessions that I have included provide results in a variety of situations, skills and grouping</w:t>
            </w:r>
            <w:r w:rsidR="004F355A" w:rsidRPr="009A1E98">
              <w:rPr>
                <w:rFonts w:asciiTheme="minorHAnsi" w:hAnsiTheme="minorHAnsi" w:cstheme="minorHAnsi"/>
                <w:sz w:val="16"/>
                <w:szCs w:val="16"/>
              </w:rPr>
              <w:t>. As a result, I make sure of the evaluation in language and content aspects based on a specific criteria well planned in advance what let teachers to supply scaffolding strategies.</w:t>
            </w:r>
          </w:p>
        </w:tc>
      </w:tr>
      <w:tr w:rsidR="00747D0F" w:rsidRPr="009A1E98" w:rsidTr="00585691">
        <w:trPr>
          <w:trHeight w:val="600"/>
        </w:trPr>
        <w:tc>
          <w:tcPr>
            <w:tcW w:w="5246" w:type="dxa"/>
          </w:tcPr>
          <w:p w:rsidR="00747D0F" w:rsidRPr="009A1E98" w:rsidRDefault="00747D0F" w:rsidP="004F355A">
            <w:pPr>
              <w:pStyle w:val="TableParagraph"/>
              <w:spacing w:before="1"/>
              <w:ind w:left="107" w:right="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 assessment is an integral part of the learning process and offers opportunities for formative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well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9A1E98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summative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assessment.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It</w:t>
            </w:r>
            <w:r w:rsidRPr="009A1E9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="004F355A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criterion-based and continuous.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/>
            <w:tcBorders>
              <w:top w:val="nil"/>
            </w:tcBorders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693"/>
        </w:trPr>
        <w:tc>
          <w:tcPr>
            <w:tcW w:w="5246" w:type="dxa"/>
          </w:tcPr>
          <w:p w:rsidR="00747D0F" w:rsidRPr="009A1E98" w:rsidRDefault="00747D0F" w:rsidP="004F355A">
            <w:pPr>
              <w:pStyle w:val="TableParagraph"/>
              <w:spacing w:before="1"/>
              <w:ind w:left="107" w:right="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Both content and language criteria are taken into account, and where necessary, steps have been taken to ensure that language does not impede students demonstrating their content</w:t>
            </w:r>
            <w:r w:rsidR="004F355A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knowledge.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/>
            <w:tcBorders>
              <w:top w:val="nil"/>
            </w:tcBorders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244"/>
        </w:trPr>
        <w:tc>
          <w:tcPr>
            <w:tcW w:w="14601" w:type="dxa"/>
            <w:gridSpan w:val="8"/>
            <w:shd w:val="clear" w:color="auto" w:fill="BFBFBF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w w:val="105"/>
                <w:sz w:val="16"/>
                <w:szCs w:val="16"/>
              </w:rPr>
              <w:t>Justification and reflection</w:t>
            </w:r>
          </w:p>
        </w:tc>
      </w:tr>
      <w:tr w:rsidR="00747D0F" w:rsidRPr="009A1E98" w:rsidTr="00585691">
        <w:trPr>
          <w:trHeight w:val="713"/>
        </w:trPr>
        <w:tc>
          <w:tcPr>
            <w:tcW w:w="5246" w:type="dxa"/>
          </w:tcPr>
          <w:p w:rsidR="00747D0F" w:rsidRPr="009A1E98" w:rsidRDefault="00747D0F" w:rsidP="00585691">
            <w:pPr>
              <w:pStyle w:val="TableParagraph"/>
              <w:spacing w:before="1"/>
              <w:ind w:left="107" w:right="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Well-argued justification of the assessment plan´s creation, evidence of careful consideration of the concerns of the course</w:t>
            </w:r>
            <w:r w:rsidRPr="009A1E98">
              <w:rPr>
                <w:rFonts w:asciiTheme="minorHAnsi" w:hAnsiTheme="minorHAnsi" w:cstheme="minorHAnsi"/>
                <w:spacing w:val="-22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and having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done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supplementary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wider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reading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="0058569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present.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82" w:type="dxa"/>
            <w:vMerge w:val="restart"/>
          </w:tcPr>
          <w:p w:rsidR="00747D0F" w:rsidRPr="009A1E98" w:rsidRDefault="009F571E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 planning of the syllabus i</w:t>
            </w:r>
            <w:r w:rsidR="00825F5A" w:rsidRPr="009A1E98">
              <w:rPr>
                <w:rFonts w:asciiTheme="minorHAnsi" w:hAnsiTheme="minorHAnsi" w:cstheme="minorHAnsi"/>
                <w:sz w:val="16"/>
                <w:szCs w:val="16"/>
              </w:rPr>
              <w:t>s a principal step as teachers. N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otwithstanding the experie</w:t>
            </w:r>
            <w:r w:rsidR="00825F5A" w:rsidRPr="009A1E98">
              <w:rPr>
                <w:rFonts w:asciiTheme="minorHAnsi" w:hAnsiTheme="minorHAnsi" w:cstheme="minorHAnsi"/>
                <w:sz w:val="16"/>
                <w:szCs w:val="16"/>
              </w:rPr>
              <w:t>nce alongside with the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knowledge of the</w:t>
            </w:r>
            <w:r w:rsidR="00825F5A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exact group of children is what we have to be mindful of when designing our lessons with them. I have prepared the activities directed to them, to what I think they will enjoy and learn easier. Nevertheless, when necessary I would change the direction of the lessons.</w:t>
            </w:r>
            <w:r w:rsidR="00F62B24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Students will show me if I need to improve any aspect.</w:t>
            </w:r>
          </w:p>
        </w:tc>
      </w:tr>
      <w:tr w:rsidR="00747D0F" w:rsidRPr="009A1E98" w:rsidTr="00585691">
        <w:trPr>
          <w:trHeight w:val="976"/>
        </w:trPr>
        <w:tc>
          <w:tcPr>
            <w:tcW w:w="5246" w:type="dxa"/>
          </w:tcPr>
          <w:p w:rsidR="00747D0F" w:rsidRPr="009A1E98" w:rsidRDefault="00747D0F" w:rsidP="00F62B24">
            <w:pPr>
              <w:pStyle w:val="TableParagraph"/>
              <w:spacing w:before="1"/>
              <w:ind w:left="107" w:right="9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Honest and critical appraisal of the success of elements of the assessment plan which have been implemented including suggestions for</w:t>
            </w:r>
            <w:r w:rsidR="00F62B24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possible improvements.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/>
            <w:tcBorders>
              <w:top w:val="nil"/>
            </w:tcBorders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244"/>
        </w:trPr>
        <w:tc>
          <w:tcPr>
            <w:tcW w:w="14601" w:type="dxa"/>
            <w:gridSpan w:val="8"/>
            <w:shd w:val="clear" w:color="auto" w:fill="BFBFBF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Design and presentation</w:t>
            </w:r>
          </w:p>
        </w:tc>
      </w:tr>
      <w:tr w:rsidR="00747D0F" w:rsidRPr="009A1E98" w:rsidTr="00585691">
        <w:trPr>
          <w:trHeight w:val="731"/>
        </w:trPr>
        <w:tc>
          <w:tcPr>
            <w:tcW w:w="5246" w:type="dxa"/>
          </w:tcPr>
          <w:p w:rsidR="00747D0F" w:rsidRPr="009A1E98" w:rsidRDefault="00747D0F" w:rsidP="009A1E9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Any materials used, created or referenced, such as texts, images, audio-visual files are attractive</w:t>
            </w:r>
            <w:r w:rsidR="009A1E98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and of high quality.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 w:val="restart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734"/>
        </w:trPr>
        <w:tc>
          <w:tcPr>
            <w:tcW w:w="5246" w:type="dxa"/>
          </w:tcPr>
          <w:p w:rsidR="00747D0F" w:rsidRPr="009A1E98" w:rsidRDefault="00747D0F" w:rsidP="005F3C1E">
            <w:pPr>
              <w:pStyle w:val="TableParagraph"/>
              <w:spacing w:before="1" w:line="240" w:lineRule="atLeast"/>
              <w:ind w:left="107" w:right="9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 online repository of the assessment plan (blog,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wiki…)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attractive,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simple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intuitive</w:t>
            </w:r>
            <w:r w:rsidRPr="009A1E98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to navigate, and</w:t>
            </w:r>
            <w:r w:rsidRPr="009A1E9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functional.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9A1E98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  <w:vMerge/>
            <w:tcBorders>
              <w:top w:val="nil"/>
            </w:tcBorders>
          </w:tcPr>
          <w:p w:rsidR="00747D0F" w:rsidRPr="009A1E98" w:rsidRDefault="00747D0F" w:rsidP="005F3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47D0F" w:rsidRPr="009A1E98" w:rsidTr="00585691">
        <w:trPr>
          <w:trHeight w:val="244"/>
        </w:trPr>
        <w:tc>
          <w:tcPr>
            <w:tcW w:w="14601" w:type="dxa"/>
            <w:gridSpan w:val="8"/>
            <w:shd w:val="clear" w:color="auto" w:fill="BFBFBF"/>
          </w:tcPr>
          <w:p w:rsidR="00747D0F" w:rsidRPr="009A1E98" w:rsidRDefault="00747D0F" w:rsidP="005F3C1E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Overall impression</w:t>
            </w:r>
          </w:p>
        </w:tc>
      </w:tr>
      <w:tr w:rsidR="00747D0F" w:rsidRPr="009A1E98" w:rsidTr="00585691">
        <w:trPr>
          <w:trHeight w:val="699"/>
        </w:trPr>
        <w:tc>
          <w:tcPr>
            <w:tcW w:w="5246" w:type="dxa"/>
          </w:tcPr>
          <w:p w:rsidR="00747D0F" w:rsidRPr="009A1E98" w:rsidRDefault="00747D0F" w:rsidP="009A1E98">
            <w:pPr>
              <w:pStyle w:val="TableParagraph"/>
              <w:spacing w:before="1"/>
              <w:ind w:left="107" w:right="9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 shared assessment plan, justification and reflection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are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highly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useful</w:t>
            </w:r>
            <w:r w:rsidRPr="009A1E98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Pr="009A1E98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  <w:r w:rsidRPr="009A1E98">
              <w:rPr>
                <w:rFonts w:asciiTheme="minorHAnsi" w:hAnsiTheme="minorHAnsi" w:cstheme="minorHAnsi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Comunidad</w:t>
            </w:r>
            <w:proofErr w:type="spellEnd"/>
            <w:r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de Madrid teachers and could potentially be exploited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by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them.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plan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provides</w:t>
            </w:r>
            <w:r w:rsidRPr="009A1E98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an</w:t>
            </w:r>
            <w:r w:rsidR="009A1E98" w:rsidRPr="009A1E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excellent example of good practices.</w:t>
            </w:r>
          </w:p>
        </w:tc>
        <w:tc>
          <w:tcPr>
            <w:tcW w:w="246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dxa"/>
          </w:tcPr>
          <w:p w:rsidR="00747D0F" w:rsidRPr="009A1E98" w:rsidRDefault="00747D0F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7D0F" w:rsidRPr="009A1E98" w:rsidRDefault="00DE68D5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6982" w:type="dxa"/>
          </w:tcPr>
          <w:p w:rsidR="00747D0F" w:rsidRPr="009A1E98" w:rsidRDefault="009A1E98" w:rsidP="005F3C1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In my opinion they can use my plan and impr</w:t>
            </w:r>
            <w:bookmarkStart w:id="0" w:name="_GoBack"/>
            <w:bookmarkEnd w:id="0"/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ove with new ideas. This is the reason by which I have chosen a “</w:t>
            </w:r>
            <w:proofErr w:type="spellStart"/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Padlet</w:t>
            </w:r>
            <w:proofErr w:type="spellEnd"/>
            <w:r w:rsidRPr="009A1E98">
              <w:rPr>
                <w:rFonts w:asciiTheme="minorHAnsi" w:hAnsiTheme="minorHAnsi" w:cstheme="minorHAnsi"/>
                <w:sz w:val="16"/>
                <w:szCs w:val="16"/>
              </w:rPr>
              <w:t>”.</w:t>
            </w:r>
          </w:p>
        </w:tc>
      </w:tr>
    </w:tbl>
    <w:p w:rsidR="00A67666" w:rsidRPr="009A1E98" w:rsidRDefault="00A67666">
      <w:pPr>
        <w:rPr>
          <w:rFonts w:asciiTheme="minorHAnsi" w:hAnsiTheme="minorHAnsi" w:cstheme="minorHAnsi"/>
          <w:sz w:val="16"/>
          <w:szCs w:val="16"/>
        </w:rPr>
      </w:pPr>
    </w:p>
    <w:sectPr w:rsidR="00A67666" w:rsidRPr="009A1E98" w:rsidSect="006E08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B6"/>
    <w:rsid w:val="001E5A2E"/>
    <w:rsid w:val="004C66B6"/>
    <w:rsid w:val="004F355A"/>
    <w:rsid w:val="00585691"/>
    <w:rsid w:val="006E08CF"/>
    <w:rsid w:val="00747D0F"/>
    <w:rsid w:val="00825F5A"/>
    <w:rsid w:val="009A1E98"/>
    <w:rsid w:val="009F571E"/>
    <w:rsid w:val="00A67666"/>
    <w:rsid w:val="00DE68D5"/>
    <w:rsid w:val="00F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695D-2BA9-4E29-8FAA-2E17052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7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garcia</dc:creator>
  <cp:keywords/>
  <dc:description/>
  <cp:lastModifiedBy>alvaro garcia</cp:lastModifiedBy>
  <cp:revision>8</cp:revision>
  <dcterms:created xsi:type="dcterms:W3CDTF">2017-11-17T18:43:00Z</dcterms:created>
  <dcterms:modified xsi:type="dcterms:W3CDTF">2017-11-20T18:08:00Z</dcterms:modified>
</cp:coreProperties>
</file>