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GRUPO DE TRABAJO SOBRE CONVIVENCIA</w:t>
      </w:r>
    </w:p>
    <w:p w:rsidR="00000000" w:rsidDel="00000000" w:rsidP="00000000" w:rsidRDefault="00000000" w:rsidRPr="00000000" w14:paraId="00000005">
      <w:pPr>
        <w:jc w:val="center"/>
        <w:rPr>
          <w:b w:val="1"/>
          <w:u w:val="single"/>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JUSTIFICACIÓN DEL CUESTIONARIO PARA EL ALUMNADO </w:t>
      </w:r>
    </w:p>
    <w:p w:rsidR="00000000" w:rsidDel="00000000" w:rsidP="00000000" w:rsidRDefault="00000000" w:rsidRPr="00000000" w14:paraId="00000007">
      <w:pPr>
        <w:jc w:val="center"/>
        <w:rPr/>
      </w:pPr>
      <w:r w:rsidDel="00000000" w:rsidR="00000000" w:rsidRPr="00000000">
        <w:rPr>
          <w:rtl w:val="0"/>
        </w:rPr>
        <w:t xml:space="preserve">SOBRE EL PLAN DE CONVIVENCIA</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ab/>
        <w:t xml:space="preserve">La LOE entró en vigor a finales del curso 2006-7 e introdujo el actual concepto de proyecto educativo en su artículo 121. Además se  introdujo el concepto de  plan de convivencia en el artículo 124. Con posterioridad,  este último artículo ha sido modificado por la LOMCE y la LOMLOE, estableciendo  en su actual redacción que “los centros elaborarán un plan de convivencia que incorporarán a la programación general anual y que recogerá todas las actividades que se programen con el fin de fomentar un buen clima de convivencia dentro del centro escolar, la concreción de los derechos y deberes de los alumnos y alumnas y las medidas correctoras aplicables en caso de su incumplimiento con arreglo a la normativa vigente, tomando en consideración la situación y condiciones personales de los alumnos y alumnas, y la realización de actuaciones para la resolución pacífica de conflictos con especial atención a las actuaciones de prevención de la violencia de género, igualdad y no discriminación”.</w:t>
      </w:r>
    </w:p>
    <w:p w:rsidR="00000000" w:rsidDel="00000000" w:rsidP="00000000" w:rsidRDefault="00000000" w:rsidRPr="00000000" w14:paraId="0000000A">
      <w:pPr>
        <w:jc w:val="both"/>
        <w:rPr/>
      </w:pPr>
      <w:r w:rsidDel="00000000" w:rsidR="00000000" w:rsidRPr="00000000">
        <w:rPr>
          <w:rtl w:val="0"/>
        </w:rPr>
        <w:tab/>
        <w:t xml:space="preserve">Por otro lado el modificado Decreto de Convivencia 32/2019 prescribe la inclusión de determinados contenidos en el plan de convivencia (y también en el plan de acción tutorial) sin perjuicio de que los centros puedan incluir otros aspectos peculiares, respetando la normativa vigente en la CAM. Es decir, que la adquisición de un adecuado nivel de conocimiento de la normativa vigente sobre convivencia exige, en particular, conocer los contenidos fundamentales del plan de convivencia, documento de carácter institucional en los centros docentes desde el curso 2007-8.</w:t>
      </w:r>
    </w:p>
    <w:p w:rsidR="00000000" w:rsidDel="00000000" w:rsidP="00000000" w:rsidRDefault="00000000" w:rsidRPr="00000000" w14:paraId="0000000B">
      <w:pPr>
        <w:jc w:val="both"/>
        <w:rPr/>
      </w:pPr>
      <w:r w:rsidDel="00000000" w:rsidR="00000000" w:rsidRPr="00000000">
        <w:rPr>
          <w:rtl w:val="0"/>
        </w:rPr>
        <w:tab/>
        <w:t xml:space="preserve">Parece razonable pensar que para mejorar la convivencia en los institutos no solamente es necesario que el profesorado tenga un adecuado conocimiento de la normativa en vigor al respecto, sino que también es preciso que lo tenga el alumnado.</w:t>
      </w:r>
    </w:p>
    <w:p w:rsidR="00000000" w:rsidDel="00000000" w:rsidP="00000000" w:rsidRDefault="00000000" w:rsidRPr="00000000" w14:paraId="0000000C">
      <w:pPr>
        <w:jc w:val="both"/>
        <w:rPr/>
      </w:pPr>
      <w:r w:rsidDel="00000000" w:rsidR="00000000" w:rsidRPr="00000000">
        <w:rPr>
          <w:rtl w:val="0"/>
        </w:rPr>
        <w:tab/>
        <w:t xml:space="preserve">Por este motivo, se propone  la elaboración y posterior corrección  de un cuestionario sobre el plan de convivencia (lo que se plantea es una propuesta abierta de posibles preguntas) con los siguientes objetivos: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todo el alumnado conozca las actividades que desarrolla el centro para fomentar un buen clima de convivencia.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 conscientes de los derechos y deberes del alumnado.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Adquirir un mejor conocimiento de las normas de convivencia y conducta.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Propiciar un mayor nivel de compromiso y cumplimiento de las normas que pueden ser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reelaboradas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cada curso por la comunidad educativa.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Fomentar la participación del alumnado en la revisión y modificación de la normas de convivencia, respetando la legislación vigente. En particular, debe garantizarse que el alumnado pueda comprender con exactitud el texto del plan de convivencia.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Conocer con claridad las posibles medidas correctoras aplicables, los atenuantes y agravantes y a quien corresponde su aplicación.</w:t>
      </w:r>
    </w:p>
    <w:p w:rsidR="00000000" w:rsidDel="00000000" w:rsidP="00000000" w:rsidRDefault="00000000" w:rsidRPr="00000000" w14:paraId="00000013">
      <w:pPr>
        <w:jc w:val="both"/>
        <w:rPr/>
      </w:pPr>
      <w:r w:rsidDel="00000000" w:rsidR="00000000" w:rsidRPr="00000000">
        <w:rPr>
          <w:rtl w:val="0"/>
        </w:rPr>
        <w:tab/>
        <w:t xml:space="preserve">El precitado cuestionario sería respondido en una sesión de tutoría del mes de noviembre de cada curso (dentro del plan de acción tutorial) para poder incluir alguna pregunta sobre las modificaciones del plan de convivencia recogidas en la correspondiente PGA</w:t>
      </w:r>
    </w:p>
    <w:p w:rsidR="00000000" w:rsidDel="00000000" w:rsidP="00000000" w:rsidRDefault="00000000" w:rsidRPr="00000000" w14:paraId="00000014">
      <w:pPr>
        <w:jc w:val="both"/>
        <w:rPr/>
      </w:pPr>
      <w:r w:rsidDel="00000000" w:rsidR="00000000" w:rsidRPr="00000000">
        <w:rPr>
          <w:rtl w:val="0"/>
        </w:rPr>
        <w:tab/>
        <w:t xml:space="preserve">Sin perjuicio de lo anterior se deben dedicar con anterioridad al mes de noviembre las sesiones de tutoría que se estimen necesarias, en función del nivel educativo del alumnado, para favorecer el conocimiento del plan de convivencia.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Además, todos los miembros de la comisión de convivencia deben recibir un informe sobre los resultados de las respuestas al cuestionario por cursos y preguntas.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PROPUESTA DE CUESTIONARIO SOBRE EL PLAN DE CONVIVENCIA</w:t>
      </w:r>
    </w:p>
    <w:p w:rsidR="00000000" w:rsidDel="00000000" w:rsidP="00000000" w:rsidRDefault="00000000" w:rsidRPr="00000000" w14:paraId="00000018">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Observaciones: Lee atentamente todas las preguntas y busca información, antes de contestar, en las páginas correspondientes al número que se indica en el índice de la primera página. Cada respuesta correcta vale 1 punto y por cada respuesta incorrecta se descuentan 0,5 puntos. Todas las preguntas tienen una o varias respuestas correctas.</w:t>
      </w:r>
    </w:p>
    <w:p w:rsidR="00000000" w:rsidDel="00000000" w:rsidP="00000000" w:rsidRDefault="00000000" w:rsidRPr="00000000" w14:paraId="00000019">
      <w:pPr>
        <w:jc w:val="both"/>
        <w:rPr>
          <w:rFonts w:ascii="Arial" w:cs="Arial" w:eastAsia="Arial" w:hAnsi="Arial"/>
          <w:i w:val="1"/>
          <w:sz w:val="20"/>
          <w:szCs w:val="20"/>
        </w:rPr>
      </w:pPr>
      <w:r w:rsidDel="00000000" w:rsidR="00000000" w:rsidRPr="00000000">
        <w:rPr>
          <w:rFonts w:ascii="Arial" w:cs="Arial" w:eastAsia="Arial" w:hAnsi="Arial"/>
          <w:sz w:val="20"/>
          <w:szCs w:val="20"/>
          <w:rtl w:val="0"/>
        </w:rPr>
        <w:tab/>
        <w:tab/>
        <w:tab/>
        <w:tab/>
        <w:tab/>
        <w:tab/>
        <w:tab/>
        <w:tab/>
        <w:tab/>
        <w:tab/>
        <w:t xml:space="preserve">      </w:t>
      </w:r>
      <w:r w:rsidDel="00000000" w:rsidR="00000000" w:rsidRPr="00000000">
        <w:rPr>
          <w:rtl w:val="0"/>
        </w:rPr>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El anexo I.b) del protocolo de acoso entre el alumnado se utiliza para:</w:t>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Que el tutor/a comunique un posible caso de acoso.</w:t>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Que cualquier profesor comunique un posible caso de acoso.</w:t>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Que el alumnado pueda comunicar anónimamente las situaciones de posible acoso de las que sean testigos o conocedores                                                                                             </w:t>
      </w:r>
      <w:r w:rsidDel="00000000" w:rsidR="00000000" w:rsidRPr="00000000">
        <w:rPr>
          <w:rFonts w:ascii="Arial" w:cs="Arial" w:eastAsia="Arial" w:hAnsi="Arial"/>
          <w:i w:val="1"/>
          <w:sz w:val="20"/>
          <w:szCs w:val="20"/>
          <w:rtl w:val="0"/>
        </w:rPr>
        <w:t xml:space="preserve">(nº 7 del índice).</w:t>
      </w:r>
      <w:r w:rsidDel="00000000" w:rsidR="00000000" w:rsidRPr="00000000">
        <w:rPr>
          <w:rtl w:val="0"/>
        </w:rPr>
      </w:r>
    </w:p>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tab/>
        <w:tab/>
        <w:tab/>
        <w:tab/>
        <w:t xml:space="preserve">                  </w:t>
        <w:tab/>
        <w:tab/>
        <w:tab/>
        <w:tab/>
        <w:tab/>
        <w:tab/>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Los alumnos mediadores pueden intervenir en los siguientes conflictos:</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Actitudes violentas,</w:t>
      </w:r>
    </w:p>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Amistades deterioradas. </w:t>
      </w:r>
    </w:p>
    <w:p w:rsidR="00000000" w:rsidDel="00000000" w:rsidP="00000000" w:rsidRDefault="00000000" w:rsidRPr="00000000" w14:paraId="00000022">
      <w:pPr>
        <w:jc w:val="both"/>
        <w:rPr>
          <w:rFonts w:ascii="Arial" w:cs="Arial" w:eastAsia="Arial" w:hAnsi="Arial"/>
          <w:i w:val="1"/>
          <w:sz w:val="20"/>
          <w:szCs w:val="20"/>
        </w:rPr>
      </w:pPr>
      <w:r w:rsidDel="00000000" w:rsidR="00000000" w:rsidRPr="00000000">
        <w:rPr>
          <w:rFonts w:ascii="Arial" w:cs="Arial" w:eastAsia="Arial" w:hAnsi="Arial"/>
          <w:sz w:val="20"/>
          <w:szCs w:val="20"/>
          <w:rtl w:val="0"/>
        </w:rPr>
        <w:tab/>
        <w:t xml:space="preserve">c) Situaciones de posible ciberacoso                                                                     </w:t>
      </w:r>
      <w:r w:rsidDel="00000000" w:rsidR="00000000" w:rsidRPr="00000000">
        <w:rPr>
          <w:rFonts w:ascii="Arial" w:cs="Arial" w:eastAsia="Arial" w:hAnsi="Arial"/>
          <w:i w:val="1"/>
          <w:sz w:val="20"/>
          <w:szCs w:val="20"/>
          <w:rtl w:val="0"/>
        </w:rPr>
        <w:t xml:space="preserve">(nº 10 del índice)</w:t>
      </w:r>
    </w:p>
    <w:p w:rsidR="00000000" w:rsidDel="00000000" w:rsidP="00000000" w:rsidRDefault="00000000" w:rsidRPr="00000000" w14:paraId="00000023">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Indica cuáles de los siguientes son derechos del alumnado</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A cambiarse, durante el mes de septiembre, a otro  grupo de su mismo nivel</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A elegir su asiento en el aula.</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A participar, a través de sus representantes en el Consejo Escolar, en la elaboración del plan de convivencia y a formular propuestas de mejora sobre el mismo.</w:t>
      </w:r>
    </w:p>
    <w:p w:rsidR="00000000" w:rsidDel="00000000" w:rsidP="00000000" w:rsidRDefault="00000000" w:rsidRPr="00000000" w14:paraId="00000028">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ab/>
        <w:tab/>
        <w:tab/>
        <w:tab/>
        <w:tab/>
        <w:tab/>
        <w:tab/>
        <w:tab/>
        <w:tab/>
        <w:t xml:space="preserve">             (nº 11 del índice)</w:t>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Indica cuáles de los siguientes son deberes  del alumnado</w:t>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Comunicar al personal del centro las posibles situaciones de acoso.</w:t>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Comunicar al personal del centro las situaciones que puedan poner en riesgo grave la integridad física o moral de otros miembros de la comunidad educativa.</w:t>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Participar en las actividades deportivas que organiza el centro por las tardes. </w:t>
      </w:r>
    </w:p>
    <w:p w:rsidR="00000000" w:rsidDel="00000000" w:rsidP="00000000" w:rsidRDefault="00000000" w:rsidRPr="00000000" w14:paraId="0000002D">
      <w:pPr>
        <w:jc w:val="both"/>
        <w:rPr>
          <w:rFonts w:ascii="Arial" w:cs="Arial" w:eastAsia="Arial" w:hAnsi="Arial"/>
          <w:i w:val="1"/>
          <w:sz w:val="20"/>
          <w:szCs w:val="20"/>
        </w:rPr>
      </w:pPr>
      <w:r w:rsidDel="00000000" w:rsidR="00000000" w:rsidRPr="00000000">
        <w:rPr>
          <w:rFonts w:ascii="Arial" w:cs="Arial" w:eastAsia="Arial" w:hAnsi="Arial"/>
          <w:sz w:val="20"/>
          <w:szCs w:val="20"/>
          <w:rtl w:val="0"/>
        </w:rPr>
        <w:tab/>
        <w:tab/>
        <w:tab/>
        <w:tab/>
        <w:tab/>
        <w:tab/>
        <w:tab/>
        <w:tab/>
        <w:tab/>
        <w:tab/>
        <w:t xml:space="preserve">           </w:t>
      </w:r>
      <w:r w:rsidDel="00000000" w:rsidR="00000000" w:rsidRPr="00000000">
        <w:rPr>
          <w:rFonts w:ascii="Arial" w:cs="Arial" w:eastAsia="Arial" w:hAnsi="Arial"/>
          <w:i w:val="1"/>
          <w:sz w:val="20"/>
          <w:szCs w:val="20"/>
          <w:rtl w:val="0"/>
        </w:rPr>
        <w:t xml:space="preserve">(nº 11 del índice)</w:t>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Para la gradación de las medidas correctoras se considerarán circunstancias atenuantes: </w:t>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El arrepentimiento. </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La ausencia de intencionalidad. </w:t>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La promesa verbal de no volver a incumplir las normas de convivencia durante el restante curso académico.                                                                                                                 </w:t>
      </w:r>
      <w:r w:rsidDel="00000000" w:rsidR="00000000" w:rsidRPr="00000000">
        <w:rPr>
          <w:rFonts w:ascii="Arial" w:cs="Arial" w:eastAsia="Arial" w:hAnsi="Arial"/>
          <w:i w:val="1"/>
          <w:sz w:val="20"/>
          <w:szCs w:val="20"/>
          <w:rtl w:val="0"/>
        </w:rPr>
        <w:t xml:space="preserve">(nº 14 del índice)</w:t>
      </w:r>
      <w:r w:rsidDel="00000000" w:rsidR="00000000" w:rsidRPr="00000000">
        <w:rPr>
          <w:rtl w:val="0"/>
        </w:rPr>
      </w:r>
    </w:p>
    <w:p w:rsidR="00000000" w:rsidDel="00000000" w:rsidP="00000000" w:rsidRDefault="00000000" w:rsidRPr="00000000" w14:paraId="00000033">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6) </w:t>
      </w:r>
      <w:r w:rsidDel="00000000" w:rsidR="00000000" w:rsidRPr="00000000">
        <w:rPr>
          <w:rFonts w:ascii="Arial" w:cs="Arial" w:eastAsia="Arial" w:hAnsi="Arial"/>
          <w:sz w:val="20"/>
          <w:szCs w:val="20"/>
          <w:rtl w:val="0"/>
        </w:rPr>
        <w:t xml:space="preserve">La privación del tiempo de recreo, decidida por cualquier profesor que presencie o tenga conocimiento de la comisión de cierto tipo de falta contraria a las normas de convivencia (dando cuenta al tutor del grupo y al jefe de estudios) es una medida de aplicación inmediata correspondiente a una falta:</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Leve</w:t>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Grave</w:t>
      </w:r>
    </w:p>
    <w:p w:rsidR="00000000" w:rsidDel="00000000" w:rsidP="00000000" w:rsidRDefault="00000000" w:rsidRPr="00000000" w14:paraId="00000037">
      <w:pPr>
        <w:jc w:val="both"/>
        <w:rPr>
          <w:rFonts w:ascii="Arial" w:cs="Arial" w:eastAsia="Arial" w:hAnsi="Arial"/>
          <w:i w:val="1"/>
          <w:sz w:val="20"/>
          <w:szCs w:val="20"/>
        </w:rPr>
      </w:pPr>
      <w:r w:rsidDel="00000000" w:rsidR="00000000" w:rsidRPr="00000000">
        <w:rPr>
          <w:rFonts w:ascii="Arial" w:cs="Arial" w:eastAsia="Arial" w:hAnsi="Arial"/>
          <w:sz w:val="20"/>
          <w:szCs w:val="20"/>
          <w:rtl w:val="0"/>
        </w:rPr>
        <w:tab/>
        <w:t xml:space="preserve">c) Muy grave                                                                                                           </w:t>
      </w:r>
      <w:r w:rsidDel="00000000" w:rsidR="00000000" w:rsidRPr="00000000">
        <w:rPr>
          <w:rFonts w:ascii="Arial" w:cs="Arial" w:eastAsia="Arial" w:hAnsi="Arial"/>
          <w:i w:val="1"/>
          <w:sz w:val="20"/>
          <w:szCs w:val="20"/>
          <w:rtl w:val="0"/>
        </w:rPr>
        <w:t xml:space="preserve">(nº 14 del índice)</w:t>
      </w:r>
    </w:p>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El número de faltas injustificadas de asistencia por curso que pueden dar lugar a la pérdida del derecho a la evaluación continua (obligatoriedad de examen final de la materia) en una asignatura  de 4 horas semanales es:</w:t>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12 </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10</w:t>
      </w:r>
    </w:p>
    <w:p w:rsidR="00000000" w:rsidDel="00000000" w:rsidP="00000000" w:rsidRDefault="00000000" w:rsidRPr="00000000" w14:paraId="0000003C">
      <w:pPr>
        <w:jc w:val="both"/>
        <w:rPr>
          <w:rFonts w:ascii="Arial" w:cs="Arial" w:eastAsia="Arial" w:hAnsi="Arial"/>
          <w:i w:val="1"/>
          <w:sz w:val="20"/>
          <w:szCs w:val="20"/>
        </w:rPr>
      </w:pPr>
      <w:r w:rsidDel="00000000" w:rsidR="00000000" w:rsidRPr="00000000">
        <w:rPr>
          <w:rFonts w:ascii="Arial" w:cs="Arial" w:eastAsia="Arial" w:hAnsi="Arial"/>
          <w:sz w:val="20"/>
          <w:szCs w:val="20"/>
          <w:rtl w:val="0"/>
        </w:rPr>
        <w:tab/>
        <w:t xml:space="preserve">c) Más de 12 </w:t>
        <w:tab/>
        <w:tab/>
        <w:tab/>
        <w:tab/>
        <w:tab/>
        <w:tab/>
        <w:tab/>
        <w:tab/>
      </w:r>
      <w:r w:rsidDel="00000000" w:rsidR="00000000" w:rsidRPr="00000000">
        <w:rPr>
          <w:rFonts w:ascii="Arial" w:cs="Arial" w:eastAsia="Arial" w:hAnsi="Arial"/>
          <w:i w:val="1"/>
          <w:sz w:val="20"/>
          <w:szCs w:val="20"/>
          <w:rtl w:val="0"/>
        </w:rPr>
        <w:t xml:space="preserve">(nº 14 del índice)</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 La grabación, publicidad o difusión, a través de cualquier medio o soporte, de agresiones o humillaciones cometidas o con contenido vejatorio para los miembros de la comunidad educativa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0"/>
          <w:szCs w:val="20"/>
          <w:rtl w:val="0"/>
        </w:rPr>
        <w:t xml:space="preserve">se considera:</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Falta leve</w:t>
      </w:r>
    </w:p>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Falta grave</w:t>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Falta muy grave.</w:t>
        <w:tab/>
        <w:tab/>
        <w:tab/>
        <w:tab/>
        <w:tab/>
        <w:tab/>
        <w:tab/>
      </w:r>
      <w:r w:rsidDel="00000000" w:rsidR="00000000" w:rsidRPr="00000000">
        <w:rPr>
          <w:rFonts w:ascii="Arial" w:cs="Arial" w:eastAsia="Arial" w:hAnsi="Arial"/>
          <w:i w:val="1"/>
          <w:sz w:val="20"/>
          <w:szCs w:val="20"/>
          <w:rtl w:val="0"/>
        </w:rPr>
        <w:t xml:space="preserve">(nº 15 del índice)</w:t>
      </w:r>
      <w:r w:rsidDel="00000000" w:rsidR="00000000" w:rsidRPr="00000000">
        <w:rPr>
          <w:rtl w:val="0"/>
        </w:rPr>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 xml:space="preserve">             </w:t>
        <w:tab/>
      </w:r>
    </w:p>
    <w:sectPr>
      <w:headerReference r:id="rId9" w:type="default"/>
      <w:footerReference r:id="rId10" w:type="default"/>
      <w:pgSz w:h="16838" w:w="11906" w:orient="portrait"/>
      <w:pgMar w:bottom="737" w:top="1605" w:left="1134" w:right="1416" w:header="709" w:footer="5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1"/>
      <w:tblpPr w:leftFromText="141" w:rightFromText="141" w:topFromText="0" w:bottomFromText="0" w:vertAnchor="text" w:horzAnchor="text" w:tblpX="0" w:tblpY="0"/>
      <w:tblW w:w="10008.0" w:type="dxa"/>
      <w:jc w:val="left"/>
      <w:tblInd w:w="-115.0" w:type="dxa"/>
      <w:tblBorders>
        <w:top w:color="ffffff" w:space="0" w:sz="4" w:val="single"/>
        <w:left w:color="ffffff" w:space="0" w:sz="4" w:val="single"/>
        <w:bottom w:color="ffffff" w:space="0" w:sz="4" w:val="single"/>
        <w:right w:color="ffffff" w:space="0" w:sz="4" w:val="single"/>
        <w:insideV w:color="ffffff" w:space="0" w:sz="4" w:val="single"/>
      </w:tblBorders>
      <w:tblLayout w:type="fixed"/>
      <w:tblLook w:val="0400"/>
    </w:tblPr>
    <w:tblGrid>
      <w:gridCol w:w="3348"/>
      <w:gridCol w:w="236"/>
      <w:gridCol w:w="1384"/>
      <w:gridCol w:w="1260"/>
      <w:gridCol w:w="236"/>
      <w:gridCol w:w="3544"/>
      <w:tblGridChange w:id="0">
        <w:tblGrid>
          <w:gridCol w:w="3348"/>
          <w:gridCol w:w="236"/>
          <w:gridCol w:w="1384"/>
          <w:gridCol w:w="1260"/>
          <w:gridCol w:w="236"/>
          <w:gridCol w:w="3544"/>
        </w:tblGrid>
      </w:tblGridChange>
    </w:tblGrid>
    <w:tr>
      <w:trPr>
        <w:cantSplit w:val="0"/>
        <w:trHeight w:val="1082" w:hRule="atLeast"/>
        <w:tblHeader w:val="0"/>
      </w:trPr>
      <w:tc>
        <w:tcPr/>
        <w:p w:rsidR="00000000" w:rsidDel="00000000" w:rsidP="00000000" w:rsidRDefault="00000000" w:rsidRPr="00000000" w14:paraId="00000045">
          <w:pPr>
            <w:spacing w:line="360" w:lineRule="auto"/>
            <w:rPr>
              <w:b w:val="1"/>
              <w:sz w:val="18"/>
              <w:szCs w:val="18"/>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IES MARIANO JOSÉ DE LARRA</w:t>
          </w:r>
        </w:p>
        <w:p w:rsidR="00000000" w:rsidDel="00000000" w:rsidP="00000000" w:rsidRDefault="00000000" w:rsidRPr="00000000" w14:paraId="00000047">
          <w:pPr>
            <w:spacing w:line="360" w:lineRule="auto"/>
            <w:rPr>
              <w:b w:val="1"/>
              <w:sz w:val="18"/>
              <w:szCs w:val="18"/>
            </w:rPr>
          </w:pPr>
          <w:r w:rsidDel="00000000" w:rsidR="00000000" w:rsidRPr="00000000">
            <w:rPr>
              <w:rFonts w:ascii="Arial" w:cs="Arial" w:eastAsia="Arial" w:hAnsi="Arial"/>
              <w:color w:val="000000"/>
              <w:sz w:val="20"/>
              <w:szCs w:val="20"/>
              <w:rtl w:val="0"/>
            </w:rPr>
            <w:t xml:space="preserve">Código de centro: 28028431</w:t>
          </w:r>
          <w:r w:rsidDel="00000000" w:rsidR="00000000" w:rsidRPr="00000000">
            <w:rPr>
              <w:rtl w:val="0"/>
            </w:rPr>
          </w:r>
        </w:p>
      </w:tc>
      <w:tc>
        <w:tcPr/>
        <w:p w:rsidR="00000000" w:rsidDel="00000000" w:rsidP="00000000" w:rsidRDefault="00000000" w:rsidRPr="00000000" w14:paraId="00000048">
          <w:pPr>
            <w:spacing w:line="360" w:lineRule="auto"/>
            <w:ind w:firstLine="708"/>
            <w:rPr>
              <w:b w:val="1"/>
              <w:sz w:val="28"/>
              <w:szCs w:val="28"/>
            </w:rPr>
          </w:pPr>
          <w:r w:rsidDel="00000000" w:rsidR="00000000" w:rsidRPr="00000000">
            <w:rPr>
              <w:rtl w:val="0"/>
            </w:rPr>
          </w:r>
        </w:p>
      </w:tc>
      <w:tc>
        <w:tcPr/>
        <w:p w:rsidR="00000000" w:rsidDel="00000000" w:rsidP="00000000" w:rsidRDefault="00000000" w:rsidRPr="00000000" w14:paraId="00000049">
          <w:pPr>
            <w:spacing w:line="360" w:lineRule="auto"/>
            <w:rPr>
              <w:b w:val="1"/>
            </w:rPr>
          </w:pPr>
          <w:r w:rsidDel="00000000" w:rsidR="00000000" w:rsidRPr="00000000">
            <w:rPr>
              <w:b w:val="1"/>
            </w:rPr>
            <w:pict>
              <v:shape id="_x0000_i1025" style="width:58.4pt;height:51.6pt" type="#_x0000_t75">
                <v:imagedata croptop="4428f" r:id="rId1" o:title="FSE"/>
              </v:shape>
            </w:pict>
          </w: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r w:rsidDel="00000000" w:rsidR="00000000" w:rsidRPr="00000000">
            <w:pict>
              <v:shape id="_x0000_s1025" style="position:absolute;margin-left:3.6pt;margin-top:-0.25pt;width:54pt;height:44.55pt;z-index:-251659264;mso-position-horizontal-relative:margin;mso-position-vertical-relative:text;mso-position-horizontal:absolute;mso-position-vertical:absolute;" type="#_x0000_t75">
                <v:imagedata r:id="rId2" o:title="IESBILINGUE"/>
              </v:shape>
            </w:pict>
          </w:r>
        </w:p>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tabs>
              <w:tab w:val="left" w:leader="none" w:pos="1950"/>
            </w:tabs>
            <w:rPr/>
          </w:pPr>
          <w:r w:rsidDel="00000000" w:rsidR="00000000" w:rsidRPr="00000000">
            <w:rPr>
              <w:rtl w:val="0"/>
            </w:rPr>
          </w:r>
          <w:r w:rsidDel="00000000" w:rsidR="00000000" w:rsidRPr="00000000"/>
          <w:r w:rsidDel="00000000" w:rsidR="00000000" w:rsidRPr="00000000"/>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61590" cy="903605"/>
                    <wp:effectExtent b="0" l="0" r="0" t="0"/>
                    <wp:wrapNone/>
                    <wp:docPr id="1" name=""/>
                    <a:graphic>
                      <a:graphicData uri="http://schemas.microsoft.com/office/word/2010/wordprocessingGroup">
                        <wpg:wgp>
                          <wpg:cNvGrpSpPr/>
                          <wpg:grpSpPr>
                            <a:xfrm>
                              <a:off x="4065200" y="3328175"/>
                              <a:ext cx="2561590" cy="903605"/>
                              <a:chOff x="4065200" y="3328175"/>
                              <a:chExt cx="2561600" cy="903625"/>
                            </a:xfrm>
                          </wpg:grpSpPr>
                          <wpg:grpSp>
                            <wpg:cNvGrpSpPr/>
                            <wpg:grpSpPr>
                              <a:xfrm>
                                <a:off x="4065205" y="3328198"/>
                                <a:ext cx="2561575" cy="903600"/>
                                <a:chOff x="0" y="0"/>
                                <a:chExt cx="2561575" cy="903600"/>
                              </a:xfrm>
                            </wpg:grpSpPr>
                            <wps:wsp>
                              <wps:cNvSpPr/>
                              <wps:cNvPr id="3" name="Shape 3"/>
                              <wps:spPr>
                                <a:xfrm>
                                  <a:off x="0" y="0"/>
                                  <a:ext cx="2561575" cy="90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15265"/>
                                  <a:ext cx="1967990" cy="39734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2"/>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CONSEJERIA DE  EDUCACIÓN, CIENCIA Y UNIVERSIDADES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 Y PORTAVOCIA  </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61590" cy="903605"/>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561590" cy="903605"/>
                            </a:xfrm>
                            <a:prstGeom prst="rect"/>
                            <a:ln/>
                          </pic:spPr>
                        </pic:pic>
                      </a:graphicData>
                    </a:graphic>
                  </wp:anchor>
                </w:drawing>
              </mc:Fallback>
            </mc:AlternateConten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65" w:hanging="360"/>
      </w:pPr>
      <w:rPr>
        <w:rFonts w:ascii="Times New Roman" w:cs="Times New Roman" w:eastAsia="Times New Roman" w:hAnsi="Times New Roman"/>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54D2"/>
    <w:pPr>
      <w:spacing w:after="0" w:line="240" w:lineRule="auto"/>
      <w:jc w:val="left"/>
    </w:pPr>
    <w:rPr>
      <w:rFonts w:ascii="Times New Roman" w:cs="Times New Roman" w:eastAsia="Times New Roman" w:hAnsi="Times New Roman"/>
      <w:sz w:val="24"/>
      <w:szCs w:val="24"/>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D354D2"/>
    <w:pPr>
      <w:tabs>
        <w:tab w:val="center" w:pos="4252"/>
        <w:tab w:val="right" w:pos="8504"/>
      </w:tabs>
    </w:pPr>
  </w:style>
  <w:style w:type="character" w:styleId="EncabezadoCar" w:customStyle="1">
    <w:name w:val="Encabezado Car"/>
    <w:basedOn w:val="Fuentedeprrafopredeter"/>
    <w:link w:val="Encabezado"/>
    <w:uiPriority w:val="99"/>
    <w:rsid w:val="00D354D2"/>
    <w:rPr>
      <w:rFonts w:ascii="Times New Roman" w:cs="Times New Roman" w:eastAsia="Times New Roman" w:hAnsi="Times New Roman"/>
      <w:sz w:val="24"/>
      <w:szCs w:val="24"/>
      <w:lang w:eastAsia="es-ES"/>
    </w:rPr>
  </w:style>
  <w:style w:type="paragraph" w:styleId="Piedepgina">
    <w:name w:val="footer"/>
    <w:basedOn w:val="Normal"/>
    <w:link w:val="PiedepginaCar"/>
    <w:uiPriority w:val="99"/>
    <w:rsid w:val="00D354D2"/>
    <w:pPr>
      <w:tabs>
        <w:tab w:val="center" w:pos="4252"/>
        <w:tab w:val="right" w:pos="8504"/>
      </w:tabs>
    </w:pPr>
  </w:style>
  <w:style w:type="character" w:styleId="PiedepginaCar" w:customStyle="1">
    <w:name w:val="Pie de página Car"/>
    <w:basedOn w:val="Fuentedeprrafopredeter"/>
    <w:link w:val="Piedepgina"/>
    <w:uiPriority w:val="99"/>
    <w:rsid w:val="00D354D2"/>
    <w:rPr>
      <w:rFonts w:ascii="Times New Roman" w:cs="Times New Roman" w:eastAsia="Times New Roman" w:hAnsi="Times New Roman"/>
      <w:sz w:val="24"/>
      <w:szCs w:val="24"/>
      <w:lang w:eastAsia="es-ES"/>
    </w:rPr>
  </w:style>
  <w:style w:type="paragraph" w:styleId="Prrafodelista">
    <w:name w:val="List Paragraph"/>
    <w:basedOn w:val="Normal"/>
    <w:uiPriority w:val="34"/>
    <w:qFormat w:val="1"/>
    <w:rsid w:val="0048748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Hsp9r9J2Z1U5uXB/odN4o9Skg==">CgMxLjA4AHIhMVhoaW05Qnp5Nm45NlVDLUM4cFVHMl9EVnRTX2RySzgt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2025-01-03T13:14:00Z</dcterms:created>
  <dc:creator>Usuario</dc:creator>
</cp:coreProperties>
</file>