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688C" w:rsidRPr="009B3672" w:rsidRDefault="0009688C" w:rsidP="001E4A4E">
      <w:pPr>
        <w:pStyle w:val="Textoindependiente"/>
        <w:ind w:firstLine="0"/>
        <w:rPr>
          <w:rFonts w:asciiTheme="minorHAnsi" w:hAnsiTheme="minorHAnsi" w:cstheme="minorHAnsi"/>
          <w:sz w:val="24"/>
          <w:szCs w:val="24"/>
        </w:rPr>
      </w:pPr>
    </w:p>
    <w:p w:rsidR="0009688C" w:rsidRDefault="00000000" w:rsidP="001E4A4E">
      <w:pPr>
        <w:pStyle w:val="Ttulo"/>
        <w:spacing w:before="0"/>
        <w:ind w:left="0" w:right="0" w:firstLine="0"/>
        <w:jc w:val="center"/>
        <w:rPr>
          <w:rFonts w:asciiTheme="minorHAnsi" w:hAnsiTheme="minorHAnsi" w:cstheme="minorHAnsi"/>
          <w:u w:val="none"/>
        </w:rPr>
      </w:pPr>
      <w:r w:rsidRPr="001E4A4E">
        <w:rPr>
          <w:rFonts w:asciiTheme="minorHAnsi" w:hAnsiTheme="minorHAnsi" w:cstheme="minorHAnsi"/>
        </w:rPr>
        <w:t>ASPECTOS</w:t>
      </w:r>
      <w:r w:rsidRPr="001E4A4E">
        <w:rPr>
          <w:rFonts w:asciiTheme="minorHAnsi" w:hAnsiTheme="minorHAnsi" w:cstheme="minorHAnsi"/>
          <w:spacing w:val="-7"/>
        </w:rPr>
        <w:t xml:space="preserve"> </w:t>
      </w:r>
      <w:r w:rsidRPr="001E4A4E">
        <w:rPr>
          <w:rFonts w:asciiTheme="minorHAnsi" w:hAnsiTheme="minorHAnsi" w:cstheme="minorHAnsi"/>
        </w:rPr>
        <w:t>GENERALES</w:t>
      </w:r>
      <w:r w:rsidRPr="001E4A4E">
        <w:rPr>
          <w:rFonts w:asciiTheme="minorHAnsi" w:hAnsiTheme="minorHAnsi" w:cstheme="minorHAnsi"/>
          <w:spacing w:val="-8"/>
        </w:rPr>
        <w:t xml:space="preserve"> </w:t>
      </w:r>
      <w:r w:rsidRPr="001E4A4E">
        <w:rPr>
          <w:rFonts w:asciiTheme="minorHAnsi" w:hAnsiTheme="minorHAnsi" w:cstheme="minorHAnsi"/>
        </w:rPr>
        <w:t>Y</w:t>
      </w:r>
      <w:r w:rsidRPr="001E4A4E">
        <w:rPr>
          <w:rFonts w:asciiTheme="minorHAnsi" w:hAnsiTheme="minorHAnsi" w:cstheme="minorHAnsi"/>
          <w:spacing w:val="-6"/>
        </w:rPr>
        <w:t xml:space="preserve"> </w:t>
      </w:r>
      <w:r w:rsidRPr="001E4A4E">
        <w:rPr>
          <w:rFonts w:asciiTheme="minorHAnsi" w:hAnsiTheme="minorHAnsi" w:cstheme="minorHAnsi"/>
        </w:rPr>
        <w:t>NORMAS</w:t>
      </w:r>
      <w:r w:rsidRPr="001E4A4E">
        <w:rPr>
          <w:rFonts w:asciiTheme="minorHAnsi" w:hAnsiTheme="minorHAnsi" w:cstheme="minorHAnsi"/>
          <w:spacing w:val="-10"/>
        </w:rPr>
        <w:t xml:space="preserve"> </w:t>
      </w:r>
      <w:r w:rsidRPr="001E4A4E">
        <w:rPr>
          <w:rFonts w:asciiTheme="minorHAnsi" w:hAnsiTheme="minorHAnsi" w:cstheme="minorHAnsi"/>
        </w:rPr>
        <w:t>DE</w:t>
      </w:r>
      <w:r w:rsidRPr="001E4A4E">
        <w:rPr>
          <w:rFonts w:asciiTheme="minorHAnsi" w:hAnsiTheme="minorHAnsi" w:cstheme="minorHAnsi"/>
          <w:spacing w:val="-6"/>
        </w:rPr>
        <w:t xml:space="preserve"> </w:t>
      </w:r>
      <w:r w:rsidRPr="001E4A4E">
        <w:rPr>
          <w:rFonts w:asciiTheme="minorHAnsi" w:hAnsiTheme="minorHAnsi" w:cstheme="minorHAnsi"/>
        </w:rPr>
        <w:t>FUNCIONAMIENTO</w:t>
      </w:r>
      <w:r w:rsidRPr="001E4A4E">
        <w:rPr>
          <w:rFonts w:asciiTheme="minorHAnsi" w:hAnsiTheme="minorHAnsi" w:cstheme="minorHAnsi"/>
          <w:u w:val="none"/>
        </w:rPr>
        <w:t xml:space="preserve"> </w:t>
      </w:r>
      <w:r w:rsidRPr="001E4A4E">
        <w:rPr>
          <w:rFonts w:asciiTheme="minorHAnsi" w:hAnsiTheme="minorHAnsi" w:cstheme="minorHAnsi"/>
        </w:rPr>
        <w:t>PARA ALUMNADO DE ENSEÑANZAS INICIALES</w:t>
      </w:r>
    </w:p>
    <w:p w:rsidR="00E96D70" w:rsidRPr="001E4A4E" w:rsidRDefault="00E96D70" w:rsidP="001E4A4E">
      <w:pPr>
        <w:pStyle w:val="Ttulo"/>
        <w:spacing w:before="0"/>
        <w:ind w:left="0" w:right="0" w:firstLine="0"/>
        <w:jc w:val="center"/>
        <w:rPr>
          <w:rFonts w:asciiTheme="minorHAnsi" w:hAnsiTheme="minorHAnsi" w:cstheme="minorHAnsi"/>
          <w:u w:val="none"/>
        </w:rPr>
      </w:pPr>
    </w:p>
    <w:p w:rsidR="0009688C" w:rsidRPr="009B3672" w:rsidRDefault="0009688C" w:rsidP="001E4A4E">
      <w:pPr>
        <w:pStyle w:val="Textoindependiente"/>
        <w:ind w:firstLine="0"/>
        <w:rPr>
          <w:rFonts w:asciiTheme="minorHAnsi" w:hAnsiTheme="minorHAnsi" w:cstheme="minorHAnsi"/>
          <w:b/>
          <w:sz w:val="24"/>
          <w:szCs w:val="24"/>
        </w:rPr>
      </w:pPr>
    </w:p>
    <w:p w:rsidR="0009688C" w:rsidRPr="009B3672" w:rsidRDefault="00000000" w:rsidP="001E4A4E">
      <w:pPr>
        <w:tabs>
          <w:tab w:val="left" w:pos="757"/>
        </w:tabs>
        <w:jc w:val="both"/>
        <w:rPr>
          <w:rFonts w:cstheme="minorHAnsi"/>
          <w:i/>
          <w:szCs w:val="24"/>
        </w:rPr>
      </w:pPr>
      <w:r w:rsidRPr="009B3672">
        <w:rPr>
          <w:rStyle w:val="Ttulo2Car"/>
        </w:rPr>
        <w:t>Legislación vigente:</w:t>
      </w:r>
      <w:r w:rsidRPr="009B3672">
        <w:rPr>
          <w:rFonts w:cstheme="minorHAnsi"/>
          <w:b/>
          <w:color w:val="006FC0"/>
          <w:szCs w:val="24"/>
        </w:rPr>
        <w:t xml:space="preserve"> </w:t>
      </w:r>
      <w:r w:rsidRPr="009B3672">
        <w:rPr>
          <w:rFonts w:cstheme="minorHAnsi"/>
          <w:b/>
          <w:i/>
          <w:szCs w:val="24"/>
        </w:rPr>
        <w:t>ORDEN 3219/2010</w:t>
      </w:r>
      <w:r w:rsidRPr="009B3672">
        <w:rPr>
          <w:rFonts w:cstheme="minorHAnsi"/>
          <w:i/>
          <w:szCs w:val="24"/>
        </w:rPr>
        <w:t>, de 8 de junio, de la Consejería de Educación, por la que se regulan las enseñanzas iniciales de la educación básica para personas adultas en la Comunidad de Madrid.</w:t>
      </w:r>
    </w:p>
    <w:p w:rsidR="0009688C" w:rsidRPr="009B3672" w:rsidRDefault="0009688C" w:rsidP="001E4A4E">
      <w:pPr>
        <w:pStyle w:val="Textoindependiente"/>
        <w:ind w:firstLine="0"/>
        <w:rPr>
          <w:rFonts w:asciiTheme="minorHAnsi" w:hAnsiTheme="minorHAnsi" w:cstheme="minorHAnsi"/>
          <w:i/>
          <w:sz w:val="24"/>
          <w:szCs w:val="24"/>
        </w:rPr>
      </w:pPr>
    </w:p>
    <w:p w:rsidR="0009688C" w:rsidRDefault="00000000" w:rsidP="001E4A4E">
      <w:pPr>
        <w:pStyle w:val="Ttulo2"/>
        <w:spacing w:before="0"/>
        <w:jc w:val="both"/>
      </w:pPr>
      <w:r w:rsidRPr="009B3672">
        <w:t>Definición:</w:t>
      </w:r>
    </w:p>
    <w:p w:rsidR="001E4A4E" w:rsidRPr="001E4A4E" w:rsidRDefault="001E4A4E" w:rsidP="001E4A4E">
      <w:pPr>
        <w:jc w:val="both"/>
      </w:pPr>
    </w:p>
    <w:p w:rsidR="0009688C" w:rsidRPr="001E4A4E" w:rsidRDefault="00000000" w:rsidP="001E4A4E">
      <w:pPr>
        <w:pStyle w:val="Prrafodelista"/>
        <w:numPr>
          <w:ilvl w:val="0"/>
          <w:numId w:val="11"/>
        </w:numPr>
      </w:pPr>
      <w:r w:rsidRPr="001E4A4E">
        <w:t>Las enseñanzas iniciales de la educación básica para personas adultas tienen la finalidad de permitirles el desarrollo de las competencias básicas necesarias para acceder a las enseñanzas para la obtención del título de Graduado en Educación Secundaria Obligatoria</w:t>
      </w:r>
      <w:r w:rsidRPr="001E4A4E">
        <w:rPr>
          <w:spacing w:val="80"/>
        </w:rPr>
        <w:t xml:space="preserve"> </w:t>
      </w:r>
      <w:r w:rsidRPr="001E4A4E">
        <w:t>por personas adultas, así como la adquisición de los conocimientos básicos instrumentales que posibiliten su promoción personal, social o laboral.</w:t>
      </w:r>
    </w:p>
    <w:p w:rsidR="0009688C" w:rsidRPr="001E4A4E" w:rsidRDefault="00000000" w:rsidP="001E4A4E">
      <w:pPr>
        <w:pStyle w:val="Prrafodelista"/>
        <w:numPr>
          <w:ilvl w:val="0"/>
          <w:numId w:val="11"/>
        </w:numPr>
      </w:pPr>
      <w:r w:rsidRPr="001E4A4E">
        <w:t>Las enseñanzas iniciales para personas adultas y las enseñanzas para la obtención del título de Graduado en Educación Secundaria Obligatoria por personas adultas constituyen la educación básica para personas adultas, de acuerdo con lo establecido en el artículo 68.1 de</w:t>
      </w:r>
      <w:r w:rsidRPr="001E4A4E">
        <w:rPr>
          <w:spacing w:val="40"/>
        </w:rPr>
        <w:t xml:space="preserve"> </w:t>
      </w:r>
      <w:r w:rsidRPr="001E4A4E">
        <w:t>la LOE.</w:t>
      </w:r>
    </w:p>
    <w:p w:rsidR="0009688C" w:rsidRPr="009B3672" w:rsidRDefault="0009688C" w:rsidP="001E4A4E">
      <w:pPr>
        <w:pStyle w:val="Textoindependiente"/>
        <w:ind w:firstLine="0"/>
        <w:rPr>
          <w:rFonts w:asciiTheme="minorHAnsi" w:hAnsiTheme="minorHAnsi" w:cstheme="minorHAnsi"/>
          <w:sz w:val="24"/>
          <w:szCs w:val="24"/>
        </w:rPr>
      </w:pPr>
    </w:p>
    <w:p w:rsidR="0009688C" w:rsidRPr="009B3672" w:rsidRDefault="00000000" w:rsidP="001E4A4E">
      <w:pPr>
        <w:pStyle w:val="Ttulo2"/>
        <w:spacing w:before="0"/>
        <w:jc w:val="both"/>
      </w:pPr>
      <w:r w:rsidRPr="009B3672">
        <w:t>Destinatarios:</w:t>
      </w:r>
    </w:p>
    <w:p w:rsidR="001E4A4E" w:rsidRDefault="001E4A4E" w:rsidP="001E4A4E">
      <w:pPr>
        <w:pStyle w:val="Textoindependiente"/>
        <w:ind w:firstLine="0"/>
        <w:rPr>
          <w:rFonts w:asciiTheme="minorHAnsi" w:hAnsiTheme="minorHAnsi" w:cstheme="minorHAnsi"/>
          <w:sz w:val="24"/>
          <w:szCs w:val="24"/>
        </w:rPr>
      </w:pPr>
    </w:p>
    <w:p w:rsidR="0009688C" w:rsidRPr="009B3672" w:rsidRDefault="00000000" w:rsidP="001E4A4E">
      <w:pPr>
        <w:pStyle w:val="Textoindependiente"/>
        <w:ind w:firstLine="0"/>
        <w:rPr>
          <w:rFonts w:asciiTheme="minorHAnsi" w:hAnsiTheme="minorHAnsi" w:cstheme="minorHAnsi"/>
          <w:sz w:val="24"/>
          <w:szCs w:val="24"/>
        </w:rPr>
      </w:pPr>
      <w:r w:rsidRPr="009B3672">
        <w:rPr>
          <w:rFonts w:asciiTheme="minorHAnsi" w:hAnsiTheme="minorHAnsi" w:cstheme="minorHAnsi"/>
          <w:sz w:val="24"/>
          <w:szCs w:val="24"/>
        </w:rPr>
        <w:t>Las</w:t>
      </w:r>
      <w:r w:rsidRPr="009B3672">
        <w:rPr>
          <w:rFonts w:asciiTheme="minorHAnsi" w:hAnsiTheme="minorHAnsi" w:cstheme="minorHAnsi"/>
          <w:spacing w:val="-6"/>
          <w:sz w:val="24"/>
          <w:szCs w:val="24"/>
        </w:rPr>
        <w:t xml:space="preserve"> </w:t>
      </w:r>
      <w:r w:rsidRPr="009B3672">
        <w:rPr>
          <w:rFonts w:asciiTheme="minorHAnsi" w:hAnsiTheme="minorHAnsi" w:cstheme="minorHAnsi"/>
          <w:sz w:val="24"/>
          <w:szCs w:val="24"/>
        </w:rPr>
        <w:t>enseñanzas</w:t>
      </w:r>
      <w:r w:rsidRPr="009B3672">
        <w:rPr>
          <w:rFonts w:asciiTheme="minorHAnsi" w:hAnsiTheme="minorHAnsi" w:cstheme="minorHAnsi"/>
          <w:spacing w:val="-5"/>
          <w:sz w:val="24"/>
          <w:szCs w:val="24"/>
        </w:rPr>
        <w:t xml:space="preserve"> </w:t>
      </w:r>
      <w:r w:rsidRPr="009B3672">
        <w:rPr>
          <w:rFonts w:asciiTheme="minorHAnsi" w:hAnsiTheme="minorHAnsi" w:cstheme="minorHAnsi"/>
          <w:sz w:val="24"/>
          <w:szCs w:val="24"/>
        </w:rPr>
        <w:t>iniciales</w:t>
      </w:r>
      <w:r w:rsidRPr="009B3672">
        <w:rPr>
          <w:rFonts w:asciiTheme="minorHAnsi" w:hAnsiTheme="minorHAnsi" w:cstheme="minorHAnsi"/>
          <w:spacing w:val="-5"/>
          <w:sz w:val="24"/>
          <w:szCs w:val="24"/>
        </w:rPr>
        <w:t xml:space="preserve"> </w:t>
      </w:r>
      <w:r w:rsidRPr="009B3672">
        <w:rPr>
          <w:rFonts w:asciiTheme="minorHAnsi" w:hAnsiTheme="minorHAnsi" w:cstheme="minorHAnsi"/>
          <w:sz w:val="24"/>
          <w:szCs w:val="24"/>
        </w:rPr>
        <w:t>están</w:t>
      </w:r>
      <w:r w:rsidRPr="009B3672">
        <w:rPr>
          <w:rFonts w:asciiTheme="minorHAnsi" w:hAnsiTheme="minorHAnsi" w:cstheme="minorHAnsi"/>
          <w:spacing w:val="-6"/>
          <w:sz w:val="24"/>
          <w:szCs w:val="24"/>
        </w:rPr>
        <w:t xml:space="preserve"> </w:t>
      </w:r>
      <w:r w:rsidRPr="009B3672">
        <w:rPr>
          <w:rFonts w:asciiTheme="minorHAnsi" w:hAnsiTheme="minorHAnsi" w:cstheme="minorHAnsi"/>
          <w:spacing w:val="-2"/>
          <w:sz w:val="24"/>
          <w:szCs w:val="24"/>
        </w:rPr>
        <w:t>dirigidas:</w:t>
      </w:r>
    </w:p>
    <w:p w:rsidR="0009688C" w:rsidRPr="001E4A4E" w:rsidRDefault="00000000" w:rsidP="001E4A4E">
      <w:pPr>
        <w:pStyle w:val="Prrafodelista"/>
        <w:numPr>
          <w:ilvl w:val="0"/>
          <w:numId w:val="11"/>
        </w:numPr>
      </w:pPr>
      <w:r w:rsidRPr="001E4A4E">
        <w:t>A las personas mayores de dieciocho años o que los cumplan en el año en que comience el curso escolar.</w:t>
      </w:r>
    </w:p>
    <w:p w:rsidR="0009688C" w:rsidRPr="001E4A4E" w:rsidRDefault="00000000" w:rsidP="001E4A4E">
      <w:pPr>
        <w:pStyle w:val="Prrafodelista"/>
        <w:numPr>
          <w:ilvl w:val="0"/>
          <w:numId w:val="11"/>
        </w:numPr>
      </w:pPr>
      <w:r w:rsidRPr="001E4A4E">
        <w:t>Excepcionalmente, a los mayores de dieciséis años que lo soliciten y que tengan un contrato laboral que no les permita acudir a los centros educativos en régimen ordinario o que sean deportistas de alto nivel o alto rendimiento.</w:t>
      </w:r>
    </w:p>
    <w:p w:rsidR="0009688C" w:rsidRPr="001E4A4E" w:rsidRDefault="00000000" w:rsidP="001E4A4E">
      <w:pPr>
        <w:pStyle w:val="Prrafodelista"/>
        <w:numPr>
          <w:ilvl w:val="0"/>
          <w:numId w:val="11"/>
        </w:numPr>
      </w:pPr>
      <w:r w:rsidRPr="001E4A4E">
        <w:t>A la población reclusa en los centros penitenciarios, que tendrá garantizado el acceso a estas enseñanzas.</w:t>
      </w:r>
    </w:p>
    <w:p w:rsidR="0009688C" w:rsidRPr="001E4A4E" w:rsidRDefault="00000000" w:rsidP="001E4A4E">
      <w:pPr>
        <w:pStyle w:val="Prrafodelista"/>
        <w:numPr>
          <w:ilvl w:val="0"/>
          <w:numId w:val="11"/>
        </w:numPr>
      </w:pPr>
      <w:r w:rsidRPr="001E4A4E">
        <w:t>En todos los casos, se prestará una atención adecuada a las personas adultas que presenten necesidades específicas de apoyo educativo.</w:t>
      </w:r>
    </w:p>
    <w:p w:rsidR="0009688C" w:rsidRPr="009B3672" w:rsidRDefault="0009688C" w:rsidP="001E4A4E">
      <w:pPr>
        <w:pStyle w:val="Textoindependiente"/>
        <w:ind w:firstLine="0"/>
        <w:rPr>
          <w:rFonts w:asciiTheme="minorHAnsi" w:hAnsiTheme="minorHAnsi" w:cstheme="minorHAnsi"/>
          <w:sz w:val="24"/>
          <w:szCs w:val="24"/>
        </w:rPr>
      </w:pPr>
    </w:p>
    <w:p w:rsidR="00E96D70" w:rsidRDefault="00000000" w:rsidP="001E4A4E">
      <w:pPr>
        <w:tabs>
          <w:tab w:val="left" w:pos="757"/>
        </w:tabs>
        <w:jc w:val="both"/>
        <w:rPr>
          <w:rFonts w:cstheme="minorHAnsi"/>
          <w:b/>
          <w:i/>
          <w:color w:val="006FC0"/>
          <w:szCs w:val="24"/>
        </w:rPr>
      </w:pPr>
      <w:r w:rsidRPr="009B3672">
        <w:rPr>
          <w:rStyle w:val="Ttulo2Car"/>
        </w:rPr>
        <w:t>Organización:</w:t>
      </w:r>
      <w:r w:rsidRPr="009B3672">
        <w:rPr>
          <w:rFonts w:cstheme="minorHAnsi"/>
          <w:b/>
          <w:i/>
          <w:color w:val="006FC0"/>
          <w:szCs w:val="24"/>
        </w:rPr>
        <w:t xml:space="preserve"> </w:t>
      </w:r>
    </w:p>
    <w:p w:rsidR="00E96D70" w:rsidRDefault="00E96D70" w:rsidP="001E4A4E">
      <w:pPr>
        <w:tabs>
          <w:tab w:val="left" w:pos="757"/>
        </w:tabs>
        <w:jc w:val="both"/>
        <w:rPr>
          <w:rFonts w:cstheme="minorHAnsi"/>
          <w:b/>
          <w:i/>
          <w:color w:val="006FC0"/>
          <w:szCs w:val="24"/>
        </w:rPr>
      </w:pPr>
    </w:p>
    <w:p w:rsidR="0009688C" w:rsidRPr="009B3672" w:rsidRDefault="00000000" w:rsidP="001E4A4E">
      <w:pPr>
        <w:tabs>
          <w:tab w:val="left" w:pos="757"/>
        </w:tabs>
        <w:jc w:val="both"/>
        <w:rPr>
          <w:rFonts w:cstheme="minorHAnsi"/>
          <w:szCs w:val="24"/>
        </w:rPr>
      </w:pPr>
      <w:r w:rsidRPr="009B3672">
        <w:rPr>
          <w:rFonts w:cstheme="minorHAnsi"/>
          <w:szCs w:val="24"/>
        </w:rPr>
        <w:t>Las enseñanzas iniciales de la educación básica para personas adultas comprenden cuatro cursos académicos que se organizan dos niveles: nivel inicial I y nivel inicial II, de dos años cada uno.</w:t>
      </w:r>
    </w:p>
    <w:p w:rsidR="0009688C" w:rsidRPr="009B3672" w:rsidRDefault="0009688C" w:rsidP="001E4A4E">
      <w:pPr>
        <w:pStyle w:val="Textoindependiente"/>
        <w:ind w:firstLine="0"/>
        <w:rPr>
          <w:rFonts w:asciiTheme="minorHAnsi" w:hAnsiTheme="minorHAnsi" w:cstheme="minorHAnsi"/>
          <w:sz w:val="24"/>
          <w:szCs w:val="24"/>
        </w:rPr>
      </w:pPr>
    </w:p>
    <w:p w:rsidR="001E4A4E" w:rsidRDefault="00000000" w:rsidP="001E4A4E">
      <w:pPr>
        <w:pStyle w:val="Ttulo1"/>
        <w:tabs>
          <w:tab w:val="left" w:pos="757"/>
        </w:tabs>
        <w:ind w:left="0"/>
        <w:rPr>
          <w:rFonts w:asciiTheme="minorHAnsi" w:hAnsiTheme="minorHAnsi" w:cstheme="minorHAnsi"/>
          <w:color w:val="006FC0"/>
          <w:sz w:val="24"/>
          <w:szCs w:val="24"/>
          <w:u w:val="none"/>
        </w:rPr>
      </w:pPr>
      <w:r w:rsidRPr="009B3672">
        <w:rPr>
          <w:rStyle w:val="Ttulo2Car"/>
          <w:b/>
          <w:bCs w:val="0"/>
          <w:i w:val="0"/>
          <w:iCs w:val="0"/>
          <w:u w:val="none"/>
        </w:rPr>
        <w:t>Funcionamiento dentro del centro:</w:t>
      </w:r>
      <w:r w:rsidRPr="009B3672">
        <w:rPr>
          <w:rFonts w:asciiTheme="minorHAnsi" w:hAnsiTheme="minorHAnsi" w:cstheme="minorHAnsi"/>
          <w:color w:val="006FC0"/>
          <w:sz w:val="24"/>
          <w:szCs w:val="24"/>
          <w:u w:val="none"/>
        </w:rPr>
        <w:t xml:space="preserve"> </w:t>
      </w:r>
    </w:p>
    <w:p w:rsidR="001E4A4E" w:rsidRDefault="001E4A4E" w:rsidP="001E4A4E">
      <w:pPr>
        <w:pStyle w:val="Ttulo1"/>
        <w:tabs>
          <w:tab w:val="left" w:pos="757"/>
        </w:tabs>
        <w:ind w:left="0"/>
        <w:rPr>
          <w:rFonts w:asciiTheme="minorHAnsi" w:hAnsiTheme="minorHAnsi" w:cstheme="minorHAnsi"/>
          <w:spacing w:val="-2"/>
          <w:sz w:val="24"/>
          <w:szCs w:val="24"/>
          <w:u w:val="none"/>
        </w:rPr>
      </w:pPr>
    </w:p>
    <w:p w:rsidR="0009688C" w:rsidRPr="009B3672" w:rsidRDefault="00000000" w:rsidP="001E4A4E">
      <w:pPr>
        <w:pStyle w:val="Ttulo1"/>
        <w:tabs>
          <w:tab w:val="left" w:pos="757"/>
        </w:tabs>
        <w:ind w:left="0"/>
        <w:rPr>
          <w:rFonts w:asciiTheme="minorHAnsi" w:hAnsiTheme="minorHAnsi" w:cstheme="minorHAnsi"/>
          <w:sz w:val="24"/>
          <w:szCs w:val="24"/>
          <w:u w:val="none"/>
        </w:rPr>
      </w:pPr>
      <w:r w:rsidRPr="009B3672">
        <w:rPr>
          <w:rFonts w:asciiTheme="minorHAnsi" w:hAnsiTheme="minorHAnsi" w:cstheme="minorHAnsi"/>
          <w:spacing w:val="-2"/>
          <w:sz w:val="24"/>
          <w:szCs w:val="24"/>
          <w:u w:val="none"/>
        </w:rPr>
        <w:t>Asistencia:</w:t>
      </w:r>
    </w:p>
    <w:p w:rsidR="0009688C" w:rsidRPr="001E4A4E" w:rsidRDefault="00000000" w:rsidP="001E4A4E">
      <w:pPr>
        <w:pStyle w:val="Prrafodelista"/>
        <w:numPr>
          <w:ilvl w:val="0"/>
          <w:numId w:val="11"/>
        </w:numPr>
      </w:pPr>
      <w:r w:rsidRPr="001E4A4E">
        <w:t>Las enseñanzas iniciales para personas adultas se impartirán en régimen presencial, que requiere una asistencia regular a las clases por parte del alumnado.</w:t>
      </w:r>
    </w:p>
    <w:p w:rsidR="0009688C" w:rsidRPr="001E4A4E" w:rsidRDefault="00000000" w:rsidP="001E4A4E">
      <w:pPr>
        <w:pStyle w:val="Prrafodelista"/>
        <w:numPr>
          <w:ilvl w:val="0"/>
          <w:numId w:val="11"/>
        </w:numPr>
      </w:pPr>
      <w:r w:rsidRPr="001E4A4E">
        <w:lastRenderedPageBreak/>
        <w:t>“La asistencia a clase es obligatoria. El absentismo no justificado superior a quince días lectivos de forma continuada conllevará la anulación de matrícula, previa comunicación al interesado y en las condiciones que establezca la Dirección General competente en la materia”. (En aplicación del punto 5º del artículo 9º de la ORDEN 3219/2010).</w:t>
      </w:r>
    </w:p>
    <w:p w:rsidR="0009688C" w:rsidRPr="001E4A4E" w:rsidRDefault="00000000" w:rsidP="001E4A4E">
      <w:pPr>
        <w:pStyle w:val="Prrafodelista"/>
        <w:numPr>
          <w:ilvl w:val="0"/>
          <w:numId w:val="11"/>
        </w:numPr>
      </w:pPr>
      <w:r w:rsidRPr="001E4A4E">
        <w:t>Si un alumno falta debe justificarlo al profesor de la asignatura correspondiente y después, entregar al tutor/a el justificante. Los justificantes serán debidamente custodiados por el tutor/a.</w:t>
      </w:r>
    </w:p>
    <w:p w:rsidR="0009688C" w:rsidRPr="009B3672" w:rsidRDefault="0009688C" w:rsidP="001E4A4E">
      <w:pPr>
        <w:pStyle w:val="Textoindependiente"/>
        <w:ind w:firstLine="0"/>
        <w:rPr>
          <w:rFonts w:asciiTheme="minorHAnsi" w:hAnsiTheme="minorHAnsi" w:cstheme="minorHAnsi"/>
          <w:sz w:val="24"/>
          <w:szCs w:val="24"/>
        </w:rPr>
      </w:pPr>
    </w:p>
    <w:p w:rsidR="0009688C" w:rsidRPr="009B3672" w:rsidRDefault="00000000" w:rsidP="001E4A4E">
      <w:pPr>
        <w:jc w:val="both"/>
        <w:rPr>
          <w:b/>
          <w:bCs/>
          <w:i/>
          <w:iCs/>
        </w:rPr>
      </w:pPr>
      <w:r w:rsidRPr="009B3672">
        <w:rPr>
          <w:b/>
          <w:bCs/>
          <w:i/>
          <w:iCs/>
          <w:u w:color="4471C4"/>
        </w:rPr>
        <w:t>Puntualidad:</w:t>
      </w:r>
    </w:p>
    <w:p w:rsidR="0009688C" w:rsidRPr="001E4A4E" w:rsidRDefault="00000000" w:rsidP="001E4A4E">
      <w:pPr>
        <w:pStyle w:val="Prrafodelista"/>
        <w:numPr>
          <w:ilvl w:val="0"/>
          <w:numId w:val="11"/>
        </w:numPr>
      </w:pPr>
      <w:r w:rsidRPr="001E4A4E">
        <w:t>Los alumnos deben acudir con puntualidad a las clases, actividades complementarias y extraescolares.</w:t>
      </w:r>
    </w:p>
    <w:p w:rsidR="0009688C" w:rsidRPr="001E4A4E" w:rsidRDefault="00000000" w:rsidP="001E4A4E">
      <w:pPr>
        <w:pStyle w:val="Prrafodelista"/>
        <w:numPr>
          <w:ilvl w:val="0"/>
          <w:numId w:val="11"/>
        </w:numPr>
      </w:pPr>
      <w:r w:rsidRPr="001E4A4E">
        <w:t>Como criterio general no se podrá entrar en clase pasado un cuarto de hora desde su inicio, considerándose falta de asistencia. No obstante, queda a criterio del profesor, en casos excepcionales, el permitir o no la entrada.</w:t>
      </w:r>
    </w:p>
    <w:p w:rsidR="001E4A4E" w:rsidRDefault="001E4A4E" w:rsidP="001E4A4E">
      <w:pPr>
        <w:jc w:val="both"/>
        <w:rPr>
          <w:b/>
          <w:bCs/>
          <w:i/>
          <w:iCs/>
          <w:u w:color="4471C4"/>
        </w:rPr>
      </w:pPr>
    </w:p>
    <w:p w:rsidR="0009688C" w:rsidRPr="009B3672" w:rsidRDefault="00000000" w:rsidP="001E4A4E">
      <w:pPr>
        <w:jc w:val="both"/>
        <w:rPr>
          <w:b/>
          <w:bCs/>
          <w:i/>
          <w:iCs/>
        </w:rPr>
      </w:pPr>
      <w:r w:rsidRPr="009B3672">
        <w:rPr>
          <w:b/>
          <w:bCs/>
          <w:i/>
          <w:iCs/>
          <w:u w:color="4471C4"/>
        </w:rPr>
        <w:t>Evaluación:</w:t>
      </w:r>
    </w:p>
    <w:p w:rsidR="0009688C" w:rsidRPr="001E4A4E" w:rsidRDefault="00000000" w:rsidP="001E4A4E">
      <w:pPr>
        <w:pStyle w:val="Prrafodelista"/>
        <w:numPr>
          <w:ilvl w:val="0"/>
          <w:numId w:val="11"/>
        </w:numPr>
      </w:pPr>
      <w:r w:rsidRPr="001E4A4E">
        <w:t>La evaluación del proceso de aprendizaje del alumno que curse estas enseñanzas será continua.</w:t>
      </w:r>
    </w:p>
    <w:p w:rsidR="0009688C" w:rsidRPr="001E4A4E" w:rsidRDefault="00000000" w:rsidP="001E4A4E">
      <w:pPr>
        <w:pStyle w:val="Prrafodelista"/>
        <w:numPr>
          <w:ilvl w:val="0"/>
          <w:numId w:val="11"/>
        </w:numPr>
      </w:pPr>
      <w:r w:rsidRPr="001E4A4E">
        <w:t>La evaluación continua del alumnado requiere su asistencia regular a las clases y a las actividades programadas para las enseñanzas, no pudiendo ser calificados mediante la evaluación continua aquellos alumnos que registren un absentismo superior al 25 por 100 del horario lectivo total.</w:t>
      </w:r>
    </w:p>
    <w:p w:rsidR="0009688C" w:rsidRPr="001E4A4E" w:rsidRDefault="00000000" w:rsidP="001E4A4E">
      <w:pPr>
        <w:pStyle w:val="Prrafodelista"/>
        <w:numPr>
          <w:ilvl w:val="0"/>
          <w:numId w:val="11"/>
        </w:numPr>
      </w:pPr>
      <w:r w:rsidRPr="001E4A4E">
        <w:t>(En aplicación del artículo 11º de la ORDEN 3219/2010).</w:t>
      </w:r>
    </w:p>
    <w:p w:rsidR="0009688C" w:rsidRPr="001E4A4E" w:rsidRDefault="00000000" w:rsidP="001E4A4E">
      <w:pPr>
        <w:pStyle w:val="Prrafodelista"/>
        <w:numPr>
          <w:ilvl w:val="0"/>
          <w:numId w:val="11"/>
        </w:numPr>
      </w:pPr>
      <w:r w:rsidRPr="001E4A4E">
        <w:t>En cada curso se celebrarán, para cada grupo, al menos tres sesiones de evaluación dentro del período lectivo. Al final de cada nivel, la última sesión de evaluación, que tendrá carácter de evaluación final, valorará los resultados de la evaluación continua del alumno a lo largo del mismo.</w:t>
      </w:r>
    </w:p>
    <w:p w:rsidR="0009688C" w:rsidRPr="001E4A4E" w:rsidRDefault="00000000" w:rsidP="001E4A4E">
      <w:pPr>
        <w:pStyle w:val="Prrafodelista"/>
        <w:rPr>
          <w:b/>
          <w:bCs/>
        </w:rPr>
      </w:pPr>
      <w:r w:rsidRPr="001E4A4E">
        <w:rPr>
          <w:b/>
          <w:bCs/>
        </w:rPr>
        <w:t>Al finalizar el N 2.2 con calificación positiva recibirá una certificación de fin de etapa y podrán matricularse en Nivel 1 de Secundaria.</w:t>
      </w:r>
    </w:p>
    <w:p w:rsidR="0009688C" w:rsidRPr="009B3672" w:rsidRDefault="0009688C" w:rsidP="001E4A4E">
      <w:pPr>
        <w:pStyle w:val="Textoindependiente"/>
        <w:ind w:firstLine="0"/>
        <w:rPr>
          <w:rFonts w:asciiTheme="minorHAnsi" w:hAnsiTheme="minorHAnsi" w:cstheme="minorHAnsi"/>
          <w:b/>
          <w:sz w:val="24"/>
          <w:szCs w:val="24"/>
        </w:rPr>
      </w:pPr>
    </w:p>
    <w:p w:rsidR="0009688C" w:rsidRPr="009B3672" w:rsidRDefault="00000000" w:rsidP="001E4A4E">
      <w:pPr>
        <w:jc w:val="both"/>
        <w:rPr>
          <w:b/>
          <w:bCs/>
          <w:i/>
          <w:iCs/>
        </w:rPr>
      </w:pPr>
      <w:r w:rsidRPr="009B3672">
        <w:rPr>
          <w:b/>
          <w:bCs/>
          <w:i/>
          <w:iCs/>
          <w:u w:color="4471C4"/>
        </w:rPr>
        <w:t>Permanencia</w:t>
      </w:r>
      <w:r w:rsidRPr="009B3672">
        <w:rPr>
          <w:b/>
          <w:bCs/>
          <w:i/>
          <w:iCs/>
          <w:spacing w:val="-6"/>
          <w:u w:color="4471C4"/>
        </w:rPr>
        <w:t xml:space="preserve"> </w:t>
      </w:r>
      <w:r w:rsidRPr="009B3672">
        <w:rPr>
          <w:b/>
          <w:bCs/>
          <w:i/>
          <w:iCs/>
          <w:u w:color="4471C4"/>
        </w:rPr>
        <w:t>en</w:t>
      </w:r>
      <w:r w:rsidRPr="009B3672">
        <w:rPr>
          <w:b/>
          <w:bCs/>
          <w:i/>
          <w:iCs/>
          <w:spacing w:val="-3"/>
          <w:u w:color="4471C4"/>
        </w:rPr>
        <w:t xml:space="preserve"> </w:t>
      </w:r>
      <w:r w:rsidRPr="009B3672">
        <w:rPr>
          <w:b/>
          <w:bCs/>
          <w:i/>
          <w:iCs/>
          <w:u w:color="4471C4"/>
        </w:rPr>
        <w:t>el</w:t>
      </w:r>
      <w:r w:rsidRPr="009B3672">
        <w:rPr>
          <w:b/>
          <w:bCs/>
          <w:i/>
          <w:iCs/>
          <w:spacing w:val="-4"/>
          <w:u w:color="4471C4"/>
        </w:rPr>
        <w:t xml:space="preserve"> </w:t>
      </w:r>
      <w:r w:rsidRPr="009B3672">
        <w:rPr>
          <w:b/>
          <w:bCs/>
          <w:i/>
          <w:iCs/>
          <w:spacing w:val="-2"/>
          <w:u w:color="4471C4"/>
        </w:rPr>
        <w:t>centro:</w:t>
      </w:r>
    </w:p>
    <w:p w:rsidR="0009688C" w:rsidRPr="009B3672" w:rsidRDefault="00000000" w:rsidP="001E4A4E">
      <w:pPr>
        <w:pStyle w:val="Prrafodelista"/>
        <w:numPr>
          <w:ilvl w:val="0"/>
          <w:numId w:val="11"/>
        </w:numPr>
      </w:pPr>
      <w:r w:rsidRPr="009B3672">
        <w:t>La permanencia de las personas adultas en los niveles que integran las enseñanzas iniciales se ajustará a sus distintos ritmos de aprendizaje y disponibilidades de tiempo, no existiendo limitación temporal alguna a este respecto.</w:t>
      </w:r>
    </w:p>
    <w:p w:rsidR="001E4A4E" w:rsidRDefault="001E4A4E" w:rsidP="001E4A4E">
      <w:pPr>
        <w:jc w:val="both"/>
        <w:rPr>
          <w:rFonts w:cstheme="minorHAnsi"/>
          <w:szCs w:val="24"/>
        </w:rPr>
      </w:pPr>
    </w:p>
    <w:p w:rsidR="0009688C" w:rsidRPr="009B3672" w:rsidRDefault="00000000" w:rsidP="001E4A4E">
      <w:pPr>
        <w:jc w:val="both"/>
        <w:rPr>
          <w:rFonts w:cstheme="minorHAnsi"/>
          <w:szCs w:val="24"/>
        </w:rPr>
      </w:pPr>
      <w:r w:rsidRPr="009B3672">
        <w:rPr>
          <w:rFonts w:cstheme="minorHAnsi"/>
          <w:szCs w:val="24"/>
        </w:rPr>
        <w:t>(En</w:t>
      </w:r>
      <w:r w:rsidRPr="009B3672">
        <w:rPr>
          <w:rFonts w:cstheme="minorHAnsi"/>
          <w:spacing w:val="-7"/>
          <w:szCs w:val="24"/>
        </w:rPr>
        <w:t xml:space="preserve"> </w:t>
      </w:r>
      <w:r w:rsidRPr="009B3672">
        <w:rPr>
          <w:rFonts w:cstheme="minorHAnsi"/>
          <w:szCs w:val="24"/>
        </w:rPr>
        <w:t>aplicación</w:t>
      </w:r>
      <w:r w:rsidRPr="009B3672">
        <w:rPr>
          <w:rFonts w:cstheme="minorHAnsi"/>
          <w:spacing w:val="-4"/>
          <w:szCs w:val="24"/>
        </w:rPr>
        <w:t xml:space="preserve"> </w:t>
      </w:r>
      <w:r w:rsidRPr="009B3672">
        <w:rPr>
          <w:rFonts w:cstheme="minorHAnsi"/>
          <w:szCs w:val="24"/>
        </w:rPr>
        <w:t>del</w:t>
      </w:r>
      <w:r w:rsidRPr="009B3672">
        <w:rPr>
          <w:rFonts w:cstheme="minorHAnsi"/>
          <w:spacing w:val="-4"/>
          <w:szCs w:val="24"/>
        </w:rPr>
        <w:t xml:space="preserve"> </w:t>
      </w:r>
      <w:r w:rsidRPr="009B3672">
        <w:rPr>
          <w:rFonts w:cstheme="minorHAnsi"/>
          <w:szCs w:val="24"/>
        </w:rPr>
        <w:t>Artículo</w:t>
      </w:r>
      <w:r w:rsidRPr="009B3672">
        <w:rPr>
          <w:rFonts w:cstheme="minorHAnsi"/>
          <w:spacing w:val="-5"/>
          <w:szCs w:val="24"/>
        </w:rPr>
        <w:t xml:space="preserve"> </w:t>
      </w:r>
      <w:r w:rsidRPr="009B3672">
        <w:rPr>
          <w:rFonts w:cstheme="minorHAnsi"/>
          <w:szCs w:val="24"/>
        </w:rPr>
        <w:t>19,</w:t>
      </w:r>
      <w:r w:rsidRPr="009B3672">
        <w:rPr>
          <w:rFonts w:cstheme="minorHAnsi"/>
          <w:spacing w:val="-4"/>
          <w:szCs w:val="24"/>
        </w:rPr>
        <w:t xml:space="preserve"> </w:t>
      </w:r>
      <w:r w:rsidRPr="009B3672">
        <w:rPr>
          <w:rFonts w:cstheme="minorHAnsi"/>
          <w:szCs w:val="24"/>
        </w:rPr>
        <w:t>de</w:t>
      </w:r>
      <w:r w:rsidRPr="009B3672">
        <w:rPr>
          <w:rFonts w:cstheme="minorHAnsi"/>
          <w:spacing w:val="-3"/>
          <w:szCs w:val="24"/>
        </w:rPr>
        <w:t xml:space="preserve"> </w:t>
      </w:r>
      <w:r w:rsidRPr="009B3672">
        <w:rPr>
          <w:rFonts w:cstheme="minorHAnsi"/>
          <w:szCs w:val="24"/>
        </w:rPr>
        <w:t>la</w:t>
      </w:r>
      <w:r w:rsidRPr="009B3672">
        <w:rPr>
          <w:rFonts w:cstheme="minorHAnsi"/>
          <w:spacing w:val="-4"/>
          <w:szCs w:val="24"/>
        </w:rPr>
        <w:t xml:space="preserve"> </w:t>
      </w:r>
      <w:r w:rsidRPr="009B3672">
        <w:rPr>
          <w:rFonts w:cstheme="minorHAnsi"/>
          <w:szCs w:val="24"/>
        </w:rPr>
        <w:t>Orden</w:t>
      </w:r>
      <w:r w:rsidRPr="009B3672">
        <w:rPr>
          <w:rFonts w:cstheme="minorHAnsi"/>
          <w:spacing w:val="-5"/>
          <w:szCs w:val="24"/>
        </w:rPr>
        <w:t xml:space="preserve"> </w:t>
      </w:r>
      <w:r w:rsidRPr="009B3672">
        <w:rPr>
          <w:rFonts w:cstheme="minorHAnsi"/>
          <w:i/>
          <w:szCs w:val="24"/>
        </w:rPr>
        <w:t>ORDEN</w:t>
      </w:r>
      <w:r w:rsidRPr="009B3672">
        <w:rPr>
          <w:rFonts w:cstheme="minorHAnsi"/>
          <w:i/>
          <w:spacing w:val="-5"/>
          <w:szCs w:val="24"/>
        </w:rPr>
        <w:t xml:space="preserve"> </w:t>
      </w:r>
      <w:r w:rsidRPr="009B3672">
        <w:rPr>
          <w:rFonts w:cstheme="minorHAnsi"/>
          <w:i/>
          <w:spacing w:val="-2"/>
          <w:szCs w:val="24"/>
        </w:rPr>
        <w:t>3219/2010</w:t>
      </w:r>
      <w:r w:rsidRPr="009B3672">
        <w:rPr>
          <w:rFonts w:cstheme="minorHAnsi"/>
          <w:spacing w:val="-2"/>
          <w:szCs w:val="24"/>
        </w:rPr>
        <w:t>).</w:t>
      </w:r>
    </w:p>
    <w:p w:rsidR="0009688C" w:rsidRPr="009B3672" w:rsidRDefault="0009688C" w:rsidP="001E4A4E">
      <w:pPr>
        <w:pStyle w:val="Textoindependiente"/>
        <w:ind w:firstLine="0"/>
        <w:rPr>
          <w:rFonts w:asciiTheme="minorHAnsi" w:hAnsiTheme="minorHAnsi" w:cstheme="minorHAnsi"/>
          <w:sz w:val="24"/>
          <w:szCs w:val="24"/>
        </w:rPr>
      </w:pPr>
    </w:p>
    <w:p w:rsidR="0009688C" w:rsidRPr="009B3672" w:rsidRDefault="00000000" w:rsidP="001E4A4E">
      <w:pPr>
        <w:jc w:val="both"/>
        <w:rPr>
          <w:b/>
          <w:bCs/>
          <w:i/>
          <w:iCs/>
        </w:rPr>
      </w:pPr>
      <w:r w:rsidRPr="009B3672">
        <w:rPr>
          <w:b/>
          <w:bCs/>
          <w:i/>
          <w:iCs/>
          <w:u w:color="4471C4"/>
        </w:rPr>
        <w:t>Baja</w:t>
      </w:r>
      <w:r w:rsidRPr="009B3672">
        <w:rPr>
          <w:b/>
          <w:bCs/>
          <w:i/>
          <w:iCs/>
          <w:spacing w:val="-3"/>
          <w:u w:color="4471C4"/>
        </w:rPr>
        <w:t xml:space="preserve"> </w:t>
      </w:r>
      <w:r w:rsidRPr="009B3672">
        <w:rPr>
          <w:b/>
          <w:bCs/>
          <w:i/>
          <w:iCs/>
          <w:u w:color="4471C4"/>
        </w:rPr>
        <w:t>académica</w:t>
      </w:r>
    </w:p>
    <w:p w:rsidR="0009688C" w:rsidRPr="009B3672" w:rsidRDefault="00000000" w:rsidP="001E4A4E">
      <w:pPr>
        <w:pStyle w:val="Prrafodelista"/>
        <w:numPr>
          <w:ilvl w:val="0"/>
          <w:numId w:val="11"/>
        </w:numPr>
      </w:pPr>
      <w:r w:rsidRPr="009B3672">
        <w:t>El alumno puede solicitar la baja académica hasta el 30 de abril, para ello debe firmar en Secretaría el correspondiente impreso, sin necesidad de que lo justifique de manera alguna.</w:t>
      </w:r>
    </w:p>
    <w:sectPr w:rsidR="0009688C" w:rsidRPr="009B3672" w:rsidSect="00E96D70">
      <w:headerReference w:type="default" r:id="rId7"/>
      <w:footerReference w:type="default" r:id="rId8"/>
      <w:pgSz w:w="11910" w:h="16840" w:code="9"/>
      <w:pgMar w:top="1985" w:right="1134" w:bottom="1418"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3D35" w:rsidRDefault="00363D35" w:rsidP="0052162B">
      <w:r>
        <w:separator/>
      </w:r>
    </w:p>
  </w:endnote>
  <w:endnote w:type="continuationSeparator" w:id="0">
    <w:p w:rsidR="00363D35" w:rsidRDefault="00363D35" w:rsidP="0052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473279"/>
      <w:docPartObj>
        <w:docPartGallery w:val="Page Numbers (Bottom of Page)"/>
        <w:docPartUnique/>
      </w:docPartObj>
    </w:sdtPr>
    <w:sdtContent>
      <w:p w:rsidR="00E96D70" w:rsidRDefault="00E96D70">
        <w:pPr>
          <w:pStyle w:val="Piedepgina"/>
          <w:jc w:val="right"/>
        </w:pPr>
        <w:r>
          <w:rPr>
            <w:noProof/>
          </w:rPr>
          <w:drawing>
            <wp:inline distT="0" distB="0" distL="0" distR="0">
              <wp:extent cx="1257143" cy="371429"/>
              <wp:effectExtent l="0" t="0" r="635" b="0"/>
              <wp:docPr id="4503399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33992" name="Imagen 45033992"/>
                      <pic:cNvPicPr/>
                    </pic:nvPicPr>
                    <pic:blipFill>
                      <a:blip r:embed="rId1">
                        <a:extLst>
                          <a:ext uri="{28A0092B-C50C-407E-A947-70E740481C1C}">
                            <a14:useLocalDpi xmlns:a14="http://schemas.microsoft.com/office/drawing/2010/main" val="0"/>
                          </a:ext>
                        </a:extLst>
                      </a:blip>
                      <a:stretch>
                        <a:fillRect/>
                      </a:stretch>
                    </pic:blipFill>
                    <pic:spPr>
                      <a:xfrm>
                        <a:off x="0" y="0"/>
                        <a:ext cx="1257143" cy="371429"/>
                      </a:xfrm>
                      <a:prstGeom prst="rect">
                        <a:avLst/>
                      </a:prstGeom>
                    </pic:spPr>
                  </pic:pic>
                </a:graphicData>
              </a:graphic>
            </wp:inline>
          </w:drawing>
        </w:r>
        <w:r>
          <w:t xml:space="preserve">    </w:t>
        </w: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3D35" w:rsidRDefault="00363D35" w:rsidP="0052162B">
      <w:r>
        <w:separator/>
      </w:r>
    </w:p>
  </w:footnote>
  <w:footnote w:type="continuationSeparator" w:id="0">
    <w:p w:rsidR="00363D35" w:rsidRDefault="00363D35" w:rsidP="00521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162B" w:rsidRDefault="0052162B">
    <w:pPr>
      <w:pStyle w:val="Encabezado"/>
    </w:pPr>
    <w:r>
      <w:rPr>
        <w:noProof/>
      </w:rPr>
      <w:drawing>
        <wp:inline distT="0" distB="0" distL="0" distR="0">
          <wp:extent cx="6122670" cy="690245"/>
          <wp:effectExtent l="0" t="0" r="0" b="0"/>
          <wp:docPr id="15496414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641431" name="Imagen 1549641431"/>
                  <pic:cNvPicPr/>
                </pic:nvPicPr>
                <pic:blipFill>
                  <a:blip r:embed="rId1">
                    <a:extLst>
                      <a:ext uri="{28A0092B-C50C-407E-A947-70E740481C1C}">
                        <a14:useLocalDpi xmlns:a14="http://schemas.microsoft.com/office/drawing/2010/main" val="0"/>
                      </a:ext>
                    </a:extLst>
                  </a:blip>
                  <a:stretch>
                    <a:fillRect/>
                  </a:stretch>
                </pic:blipFill>
                <pic:spPr>
                  <a:xfrm>
                    <a:off x="0" y="0"/>
                    <a:ext cx="6122670" cy="6902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C6E"/>
    <w:multiLevelType w:val="hybridMultilevel"/>
    <w:tmpl w:val="D5DC18E6"/>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2C20077"/>
    <w:multiLevelType w:val="hybridMultilevel"/>
    <w:tmpl w:val="22AC8644"/>
    <w:lvl w:ilvl="0" w:tplc="6BB22632">
      <w:numFmt w:val="bullet"/>
      <w:lvlText w:val=""/>
      <w:lvlJc w:val="left"/>
      <w:pPr>
        <w:ind w:left="1013" w:hanging="360"/>
      </w:pPr>
      <w:rPr>
        <w:rFonts w:ascii="Wingdings" w:eastAsia="Wingdings" w:hAnsi="Wingdings" w:cs="Wingdings" w:hint="default"/>
        <w:b w:val="0"/>
        <w:bCs w:val="0"/>
        <w:i w:val="0"/>
        <w:iCs w:val="0"/>
        <w:w w:val="100"/>
        <w:sz w:val="22"/>
        <w:szCs w:val="22"/>
        <w:lang w:val="es-ES" w:eastAsia="en-US" w:bidi="ar-SA"/>
      </w:rPr>
    </w:lvl>
    <w:lvl w:ilvl="1" w:tplc="BB08BB0C">
      <w:numFmt w:val="bullet"/>
      <w:lvlText w:val="•"/>
      <w:lvlJc w:val="left"/>
      <w:pPr>
        <w:ind w:left="1918" w:hanging="360"/>
      </w:pPr>
      <w:rPr>
        <w:rFonts w:hint="default"/>
        <w:lang w:val="es-ES" w:eastAsia="en-US" w:bidi="ar-SA"/>
      </w:rPr>
    </w:lvl>
    <w:lvl w:ilvl="2" w:tplc="423C65C2">
      <w:numFmt w:val="bullet"/>
      <w:lvlText w:val="•"/>
      <w:lvlJc w:val="left"/>
      <w:pPr>
        <w:ind w:left="2817" w:hanging="360"/>
      </w:pPr>
      <w:rPr>
        <w:rFonts w:hint="default"/>
        <w:lang w:val="es-ES" w:eastAsia="en-US" w:bidi="ar-SA"/>
      </w:rPr>
    </w:lvl>
    <w:lvl w:ilvl="3" w:tplc="363CF8C6">
      <w:numFmt w:val="bullet"/>
      <w:lvlText w:val="•"/>
      <w:lvlJc w:val="left"/>
      <w:pPr>
        <w:ind w:left="3715" w:hanging="360"/>
      </w:pPr>
      <w:rPr>
        <w:rFonts w:hint="default"/>
        <w:lang w:val="es-ES" w:eastAsia="en-US" w:bidi="ar-SA"/>
      </w:rPr>
    </w:lvl>
    <w:lvl w:ilvl="4" w:tplc="626ADFA2">
      <w:numFmt w:val="bullet"/>
      <w:lvlText w:val="•"/>
      <w:lvlJc w:val="left"/>
      <w:pPr>
        <w:ind w:left="4614" w:hanging="360"/>
      </w:pPr>
      <w:rPr>
        <w:rFonts w:hint="default"/>
        <w:lang w:val="es-ES" w:eastAsia="en-US" w:bidi="ar-SA"/>
      </w:rPr>
    </w:lvl>
    <w:lvl w:ilvl="5" w:tplc="F8EAD0B2">
      <w:numFmt w:val="bullet"/>
      <w:lvlText w:val="•"/>
      <w:lvlJc w:val="left"/>
      <w:pPr>
        <w:ind w:left="5513" w:hanging="360"/>
      </w:pPr>
      <w:rPr>
        <w:rFonts w:hint="default"/>
        <w:lang w:val="es-ES" w:eastAsia="en-US" w:bidi="ar-SA"/>
      </w:rPr>
    </w:lvl>
    <w:lvl w:ilvl="6" w:tplc="ED546122">
      <w:numFmt w:val="bullet"/>
      <w:lvlText w:val="•"/>
      <w:lvlJc w:val="left"/>
      <w:pPr>
        <w:ind w:left="6411" w:hanging="360"/>
      </w:pPr>
      <w:rPr>
        <w:rFonts w:hint="default"/>
        <w:lang w:val="es-ES" w:eastAsia="en-US" w:bidi="ar-SA"/>
      </w:rPr>
    </w:lvl>
    <w:lvl w:ilvl="7" w:tplc="D2022638">
      <w:numFmt w:val="bullet"/>
      <w:lvlText w:val="•"/>
      <w:lvlJc w:val="left"/>
      <w:pPr>
        <w:ind w:left="7310" w:hanging="360"/>
      </w:pPr>
      <w:rPr>
        <w:rFonts w:hint="default"/>
        <w:lang w:val="es-ES" w:eastAsia="en-US" w:bidi="ar-SA"/>
      </w:rPr>
    </w:lvl>
    <w:lvl w:ilvl="8" w:tplc="BFC219B0">
      <w:numFmt w:val="bullet"/>
      <w:lvlText w:val="•"/>
      <w:lvlJc w:val="left"/>
      <w:pPr>
        <w:ind w:left="8209" w:hanging="360"/>
      </w:pPr>
      <w:rPr>
        <w:rFonts w:hint="default"/>
        <w:lang w:val="es-ES" w:eastAsia="en-US" w:bidi="ar-SA"/>
      </w:rPr>
    </w:lvl>
  </w:abstractNum>
  <w:abstractNum w:abstractNumId="2" w15:restartNumberingAfterBreak="0">
    <w:nsid w:val="10DD15A0"/>
    <w:multiLevelType w:val="hybridMultilevel"/>
    <w:tmpl w:val="A506622E"/>
    <w:lvl w:ilvl="0" w:tplc="70EC91B6">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9376E06"/>
    <w:multiLevelType w:val="hybridMultilevel"/>
    <w:tmpl w:val="46FA4E2E"/>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A6C3823"/>
    <w:multiLevelType w:val="hybridMultilevel"/>
    <w:tmpl w:val="1C986844"/>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BB0437A"/>
    <w:multiLevelType w:val="hybridMultilevel"/>
    <w:tmpl w:val="AEFEFA30"/>
    <w:lvl w:ilvl="0" w:tplc="FFFFFFFF">
      <w:start w:val="1"/>
      <w:numFmt w:val="decimal"/>
      <w:lvlText w:val="%1."/>
      <w:lvlJc w:val="left"/>
      <w:pPr>
        <w:ind w:left="360" w:hanging="360"/>
      </w:pPr>
      <w:rPr>
        <w:rFonts w:ascii="Cambria" w:eastAsia="Cambria" w:hAnsi="Cambria" w:cs="Cambria" w:hint="default"/>
        <w:b w:val="0"/>
        <w:bCs w:val="0"/>
        <w:i w:val="0"/>
        <w:iCs w:val="0"/>
        <w:color w:val="4471C4"/>
        <w:w w:val="100"/>
        <w:sz w:val="22"/>
        <w:szCs w:val="22"/>
        <w:lang w:val="es-ES" w:eastAsia="en-US" w:bidi="ar-SA"/>
      </w:rPr>
    </w:lvl>
    <w:lvl w:ilvl="1" w:tplc="0C0A0001">
      <w:start w:val="1"/>
      <w:numFmt w:val="bullet"/>
      <w:lvlText w:val=""/>
      <w:lvlJc w:val="left"/>
      <w:pPr>
        <w:ind w:left="720" w:hanging="360"/>
      </w:pPr>
      <w:rPr>
        <w:rFonts w:ascii="Symbol" w:hAnsi="Symbol" w:hint="default"/>
      </w:rPr>
    </w:lvl>
    <w:lvl w:ilvl="2" w:tplc="FFFFFFFF">
      <w:numFmt w:val="bullet"/>
      <w:lvlText w:val="•"/>
      <w:lvlJc w:val="left"/>
      <w:pPr>
        <w:ind w:left="1084" w:hanging="360"/>
      </w:pPr>
      <w:rPr>
        <w:rFonts w:hint="default"/>
        <w:lang w:val="es-ES" w:eastAsia="en-US" w:bidi="ar-SA"/>
      </w:rPr>
    </w:lvl>
    <w:lvl w:ilvl="3" w:tplc="FFFFFFFF">
      <w:numFmt w:val="bullet"/>
      <w:lvlText w:val="•"/>
      <w:lvlJc w:val="left"/>
      <w:pPr>
        <w:ind w:left="2149" w:hanging="360"/>
      </w:pPr>
      <w:rPr>
        <w:rFonts w:hint="default"/>
        <w:lang w:val="es-ES" w:eastAsia="en-US" w:bidi="ar-SA"/>
      </w:rPr>
    </w:lvl>
    <w:lvl w:ilvl="4" w:tplc="FFFFFFFF">
      <w:numFmt w:val="bullet"/>
      <w:lvlText w:val="•"/>
      <w:lvlJc w:val="left"/>
      <w:pPr>
        <w:ind w:left="3215" w:hanging="360"/>
      </w:pPr>
      <w:rPr>
        <w:rFonts w:hint="default"/>
        <w:lang w:val="es-ES" w:eastAsia="en-US" w:bidi="ar-SA"/>
      </w:rPr>
    </w:lvl>
    <w:lvl w:ilvl="5" w:tplc="FFFFFFFF">
      <w:numFmt w:val="bullet"/>
      <w:lvlText w:val="•"/>
      <w:lvlJc w:val="left"/>
      <w:pPr>
        <w:ind w:left="4281" w:hanging="360"/>
      </w:pPr>
      <w:rPr>
        <w:rFonts w:hint="default"/>
        <w:lang w:val="es-ES" w:eastAsia="en-US" w:bidi="ar-SA"/>
      </w:rPr>
    </w:lvl>
    <w:lvl w:ilvl="6" w:tplc="FFFFFFFF">
      <w:numFmt w:val="bullet"/>
      <w:lvlText w:val="•"/>
      <w:lvlJc w:val="left"/>
      <w:pPr>
        <w:ind w:left="5347" w:hanging="360"/>
      </w:pPr>
      <w:rPr>
        <w:rFonts w:hint="default"/>
        <w:lang w:val="es-ES" w:eastAsia="en-US" w:bidi="ar-SA"/>
      </w:rPr>
    </w:lvl>
    <w:lvl w:ilvl="7" w:tplc="FFFFFFFF">
      <w:numFmt w:val="bullet"/>
      <w:lvlText w:val="•"/>
      <w:lvlJc w:val="left"/>
      <w:pPr>
        <w:ind w:left="6413" w:hanging="360"/>
      </w:pPr>
      <w:rPr>
        <w:rFonts w:hint="default"/>
        <w:lang w:val="es-ES" w:eastAsia="en-US" w:bidi="ar-SA"/>
      </w:rPr>
    </w:lvl>
    <w:lvl w:ilvl="8" w:tplc="FFFFFFFF">
      <w:numFmt w:val="bullet"/>
      <w:lvlText w:val="•"/>
      <w:lvlJc w:val="left"/>
      <w:pPr>
        <w:ind w:left="7478" w:hanging="360"/>
      </w:pPr>
      <w:rPr>
        <w:rFonts w:hint="default"/>
        <w:lang w:val="es-ES" w:eastAsia="en-US" w:bidi="ar-SA"/>
      </w:rPr>
    </w:lvl>
  </w:abstractNum>
  <w:abstractNum w:abstractNumId="6" w15:restartNumberingAfterBreak="0">
    <w:nsid w:val="2C822FF1"/>
    <w:multiLevelType w:val="hybridMultilevel"/>
    <w:tmpl w:val="F2008892"/>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416E6C44"/>
    <w:multiLevelType w:val="hybridMultilevel"/>
    <w:tmpl w:val="75C0B6B6"/>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61902E21"/>
    <w:multiLevelType w:val="hybridMultilevel"/>
    <w:tmpl w:val="E95026AC"/>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64851AF9"/>
    <w:multiLevelType w:val="hybridMultilevel"/>
    <w:tmpl w:val="0D4EDFD6"/>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69FB12FF"/>
    <w:multiLevelType w:val="hybridMultilevel"/>
    <w:tmpl w:val="C3A29754"/>
    <w:lvl w:ilvl="0" w:tplc="EF52A0D8">
      <w:start w:val="1"/>
      <w:numFmt w:val="bullet"/>
      <w:pStyle w:val="Prrafodelista"/>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797D7961"/>
    <w:multiLevelType w:val="hybridMultilevel"/>
    <w:tmpl w:val="9FDC3A40"/>
    <w:lvl w:ilvl="0" w:tplc="1860A384">
      <w:start w:val="1"/>
      <w:numFmt w:val="decimal"/>
      <w:lvlText w:val="%1."/>
      <w:lvlJc w:val="left"/>
      <w:pPr>
        <w:ind w:left="756" w:hanging="360"/>
      </w:pPr>
      <w:rPr>
        <w:rFonts w:ascii="Cambria" w:eastAsia="Cambria" w:hAnsi="Cambria" w:cs="Cambria" w:hint="default"/>
        <w:b w:val="0"/>
        <w:bCs w:val="0"/>
        <w:i w:val="0"/>
        <w:iCs w:val="0"/>
        <w:color w:val="4471C4"/>
        <w:w w:val="100"/>
        <w:sz w:val="22"/>
        <w:szCs w:val="22"/>
        <w:lang w:val="es-ES" w:eastAsia="en-US" w:bidi="ar-SA"/>
      </w:rPr>
    </w:lvl>
    <w:lvl w:ilvl="1" w:tplc="75969310">
      <w:numFmt w:val="bullet"/>
      <w:lvlText w:val=""/>
      <w:lvlJc w:val="left"/>
      <w:pPr>
        <w:ind w:left="1116" w:hanging="360"/>
      </w:pPr>
      <w:rPr>
        <w:rFonts w:ascii="Symbol" w:eastAsia="Symbol" w:hAnsi="Symbol" w:cs="Symbol" w:hint="default"/>
        <w:b w:val="0"/>
        <w:bCs w:val="0"/>
        <w:i w:val="0"/>
        <w:iCs w:val="0"/>
        <w:w w:val="100"/>
        <w:sz w:val="22"/>
        <w:szCs w:val="22"/>
        <w:lang w:val="es-ES" w:eastAsia="en-US" w:bidi="ar-SA"/>
      </w:rPr>
    </w:lvl>
    <w:lvl w:ilvl="2" w:tplc="7BA62F38">
      <w:numFmt w:val="bullet"/>
      <w:lvlText w:val="•"/>
      <w:lvlJc w:val="left"/>
      <w:pPr>
        <w:ind w:left="1480" w:hanging="360"/>
      </w:pPr>
      <w:rPr>
        <w:rFonts w:hint="default"/>
        <w:lang w:val="es-ES" w:eastAsia="en-US" w:bidi="ar-SA"/>
      </w:rPr>
    </w:lvl>
    <w:lvl w:ilvl="3" w:tplc="C6728014">
      <w:numFmt w:val="bullet"/>
      <w:lvlText w:val="•"/>
      <w:lvlJc w:val="left"/>
      <w:pPr>
        <w:ind w:left="2545" w:hanging="360"/>
      </w:pPr>
      <w:rPr>
        <w:rFonts w:hint="default"/>
        <w:lang w:val="es-ES" w:eastAsia="en-US" w:bidi="ar-SA"/>
      </w:rPr>
    </w:lvl>
    <w:lvl w:ilvl="4" w:tplc="129C601C">
      <w:numFmt w:val="bullet"/>
      <w:lvlText w:val="•"/>
      <w:lvlJc w:val="left"/>
      <w:pPr>
        <w:ind w:left="3611" w:hanging="360"/>
      </w:pPr>
      <w:rPr>
        <w:rFonts w:hint="default"/>
        <w:lang w:val="es-ES" w:eastAsia="en-US" w:bidi="ar-SA"/>
      </w:rPr>
    </w:lvl>
    <w:lvl w:ilvl="5" w:tplc="73260F22">
      <w:numFmt w:val="bullet"/>
      <w:lvlText w:val="•"/>
      <w:lvlJc w:val="left"/>
      <w:pPr>
        <w:ind w:left="4677" w:hanging="360"/>
      </w:pPr>
      <w:rPr>
        <w:rFonts w:hint="default"/>
        <w:lang w:val="es-ES" w:eastAsia="en-US" w:bidi="ar-SA"/>
      </w:rPr>
    </w:lvl>
    <w:lvl w:ilvl="6" w:tplc="C61E1036">
      <w:numFmt w:val="bullet"/>
      <w:lvlText w:val="•"/>
      <w:lvlJc w:val="left"/>
      <w:pPr>
        <w:ind w:left="5743" w:hanging="360"/>
      </w:pPr>
      <w:rPr>
        <w:rFonts w:hint="default"/>
        <w:lang w:val="es-ES" w:eastAsia="en-US" w:bidi="ar-SA"/>
      </w:rPr>
    </w:lvl>
    <w:lvl w:ilvl="7" w:tplc="397A83F6">
      <w:numFmt w:val="bullet"/>
      <w:lvlText w:val="•"/>
      <w:lvlJc w:val="left"/>
      <w:pPr>
        <w:ind w:left="6809" w:hanging="360"/>
      </w:pPr>
      <w:rPr>
        <w:rFonts w:hint="default"/>
        <w:lang w:val="es-ES" w:eastAsia="en-US" w:bidi="ar-SA"/>
      </w:rPr>
    </w:lvl>
    <w:lvl w:ilvl="8" w:tplc="E14A8442">
      <w:numFmt w:val="bullet"/>
      <w:lvlText w:val="•"/>
      <w:lvlJc w:val="left"/>
      <w:pPr>
        <w:ind w:left="7874" w:hanging="360"/>
      </w:pPr>
      <w:rPr>
        <w:rFonts w:hint="default"/>
        <w:lang w:val="es-ES" w:eastAsia="en-US" w:bidi="ar-SA"/>
      </w:rPr>
    </w:lvl>
  </w:abstractNum>
  <w:num w:numId="1" w16cid:durableId="946274393">
    <w:abstractNumId w:val="1"/>
  </w:num>
  <w:num w:numId="2" w16cid:durableId="1340307697">
    <w:abstractNumId w:val="11"/>
  </w:num>
  <w:num w:numId="3" w16cid:durableId="1516579394">
    <w:abstractNumId w:val="9"/>
  </w:num>
  <w:num w:numId="4" w16cid:durableId="1375159787">
    <w:abstractNumId w:val="4"/>
  </w:num>
  <w:num w:numId="5" w16cid:durableId="1307781229">
    <w:abstractNumId w:val="3"/>
  </w:num>
  <w:num w:numId="6" w16cid:durableId="1497920945">
    <w:abstractNumId w:val="5"/>
  </w:num>
  <w:num w:numId="7" w16cid:durableId="97604795">
    <w:abstractNumId w:val="8"/>
  </w:num>
  <w:num w:numId="8" w16cid:durableId="1335457684">
    <w:abstractNumId w:val="7"/>
  </w:num>
  <w:num w:numId="9" w16cid:durableId="758718566">
    <w:abstractNumId w:val="6"/>
  </w:num>
  <w:num w:numId="10" w16cid:durableId="1245527337">
    <w:abstractNumId w:val="2"/>
  </w:num>
  <w:num w:numId="11" w16cid:durableId="210046556">
    <w:abstractNumId w:val="0"/>
  </w:num>
  <w:num w:numId="12" w16cid:durableId="1930311872">
    <w:abstractNumId w:val="10"/>
  </w:num>
  <w:num w:numId="13" w16cid:durableId="1062559307">
    <w:abstractNumId w:val="10"/>
  </w:num>
  <w:num w:numId="14" w16cid:durableId="1659771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8C"/>
    <w:rsid w:val="0009688C"/>
    <w:rsid w:val="001E4A4E"/>
    <w:rsid w:val="00363D35"/>
    <w:rsid w:val="0052162B"/>
    <w:rsid w:val="009B3672"/>
    <w:rsid w:val="00E96D7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489BF"/>
  <w15:docId w15:val="{EDD74C6A-DAFF-42E3-B55D-78F3D010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72"/>
    <w:rPr>
      <w:rFonts w:eastAsia="Cambria" w:cs="Cambria"/>
      <w:sz w:val="24"/>
      <w:lang w:val="es-ES"/>
    </w:rPr>
  </w:style>
  <w:style w:type="paragraph" w:styleId="Ttulo1">
    <w:name w:val="heading 1"/>
    <w:basedOn w:val="Normal"/>
    <w:uiPriority w:val="9"/>
    <w:qFormat/>
    <w:pPr>
      <w:ind w:left="292"/>
      <w:jc w:val="both"/>
      <w:outlineLvl w:val="0"/>
    </w:pPr>
    <w:rPr>
      <w:rFonts w:ascii="Cambria" w:hAnsi="Cambria"/>
      <w:b/>
      <w:bCs/>
      <w:i/>
      <w:iCs/>
      <w:sz w:val="22"/>
      <w:u w:val="single" w:color="000000"/>
    </w:rPr>
  </w:style>
  <w:style w:type="paragraph" w:styleId="Ttulo2">
    <w:name w:val="heading 2"/>
    <w:basedOn w:val="Normal"/>
    <w:next w:val="Normal"/>
    <w:link w:val="Ttulo2Car"/>
    <w:autoRedefine/>
    <w:uiPriority w:val="9"/>
    <w:unhideWhenUsed/>
    <w:qFormat/>
    <w:rsid w:val="009B3672"/>
    <w:pPr>
      <w:keepNext/>
      <w:keepLines/>
      <w:spacing w:before="40"/>
      <w:outlineLvl w:val="1"/>
    </w:pPr>
    <w:rPr>
      <w:rFonts w:ascii="Calibri" w:eastAsiaTheme="majorEastAsia" w:hAnsi="Calibri" w:cstheme="majorBidi"/>
      <w:b/>
      <w:color w:val="0099C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hanging="360"/>
      <w:jc w:val="both"/>
    </w:pPr>
    <w:rPr>
      <w:rFonts w:ascii="Cambria" w:hAnsi="Cambria"/>
      <w:sz w:val="22"/>
    </w:rPr>
  </w:style>
  <w:style w:type="paragraph" w:styleId="Ttulo">
    <w:name w:val="Title"/>
    <w:basedOn w:val="Normal"/>
    <w:uiPriority w:val="10"/>
    <w:qFormat/>
    <w:pPr>
      <w:spacing w:before="99"/>
      <w:ind w:left="1526" w:right="189" w:hanging="759"/>
    </w:pPr>
    <w:rPr>
      <w:rFonts w:ascii="Cambria" w:hAnsi="Cambria"/>
      <w:b/>
      <w:bCs/>
      <w:sz w:val="32"/>
      <w:szCs w:val="32"/>
      <w:u w:val="single" w:color="000000"/>
    </w:rPr>
  </w:style>
  <w:style w:type="paragraph" w:styleId="Prrafodelista">
    <w:name w:val="List Paragraph"/>
    <w:basedOn w:val="Normal"/>
    <w:uiPriority w:val="1"/>
    <w:qFormat/>
    <w:rsid w:val="001E4A4E"/>
    <w:pPr>
      <w:numPr>
        <w:numId w:val="12"/>
      </w:numPr>
      <w:jc w:val="both"/>
    </w:pPr>
  </w:style>
  <w:style w:type="paragraph" w:customStyle="1" w:styleId="TableParagraph">
    <w:name w:val="Table Paragraph"/>
    <w:basedOn w:val="Normal"/>
    <w:uiPriority w:val="1"/>
    <w:qFormat/>
  </w:style>
  <w:style w:type="character" w:customStyle="1" w:styleId="Ttulo2Car">
    <w:name w:val="Título 2 Car"/>
    <w:basedOn w:val="Fuentedeprrafopredeter"/>
    <w:link w:val="Ttulo2"/>
    <w:uiPriority w:val="9"/>
    <w:rsid w:val="009B3672"/>
    <w:rPr>
      <w:rFonts w:ascii="Calibri" w:eastAsiaTheme="majorEastAsia" w:hAnsi="Calibri" w:cstheme="majorBidi"/>
      <w:b/>
      <w:color w:val="0099CD"/>
      <w:sz w:val="26"/>
      <w:szCs w:val="26"/>
      <w:lang w:val="es-ES"/>
    </w:rPr>
  </w:style>
  <w:style w:type="paragraph" w:styleId="Encabezado">
    <w:name w:val="header"/>
    <w:basedOn w:val="Normal"/>
    <w:link w:val="EncabezadoCar"/>
    <w:uiPriority w:val="99"/>
    <w:unhideWhenUsed/>
    <w:rsid w:val="0052162B"/>
    <w:pPr>
      <w:tabs>
        <w:tab w:val="center" w:pos="4252"/>
        <w:tab w:val="right" w:pos="8504"/>
      </w:tabs>
    </w:pPr>
  </w:style>
  <w:style w:type="character" w:customStyle="1" w:styleId="EncabezadoCar">
    <w:name w:val="Encabezado Car"/>
    <w:basedOn w:val="Fuentedeprrafopredeter"/>
    <w:link w:val="Encabezado"/>
    <w:uiPriority w:val="99"/>
    <w:rsid w:val="0052162B"/>
    <w:rPr>
      <w:rFonts w:eastAsia="Cambria" w:cs="Cambria"/>
      <w:sz w:val="24"/>
      <w:lang w:val="es-ES"/>
    </w:rPr>
  </w:style>
  <w:style w:type="paragraph" w:styleId="Piedepgina">
    <w:name w:val="footer"/>
    <w:basedOn w:val="Normal"/>
    <w:link w:val="PiedepginaCar"/>
    <w:uiPriority w:val="99"/>
    <w:unhideWhenUsed/>
    <w:rsid w:val="0052162B"/>
    <w:pPr>
      <w:tabs>
        <w:tab w:val="center" w:pos="4252"/>
        <w:tab w:val="right" w:pos="8504"/>
      </w:tabs>
    </w:pPr>
  </w:style>
  <w:style w:type="character" w:customStyle="1" w:styleId="PiedepginaCar">
    <w:name w:val="Pie de página Car"/>
    <w:basedOn w:val="Fuentedeprrafopredeter"/>
    <w:link w:val="Piedepgina"/>
    <w:uiPriority w:val="99"/>
    <w:rsid w:val="0052162B"/>
    <w:rPr>
      <w:rFonts w:eastAsia="Cambria" w:cs="Cambria"/>
      <w:sz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664</Words>
  <Characters>3658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 jose simancas</cp:lastModifiedBy>
  <cp:revision>3</cp:revision>
  <dcterms:created xsi:type="dcterms:W3CDTF">2023-05-29T07:44:00Z</dcterms:created>
  <dcterms:modified xsi:type="dcterms:W3CDTF">2023-05-29T07:53:00Z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2022-09-12T00:00:00Z</vt:filetime>
  </property>
  <property fmtid="{D5CDD505-2E9C-101B-9397-08002B2CF9AE}" pid="3" name="Creator">
    <vt:lpwstr>Microsoft® Word 2019</vt:lpwstr>
  </property>
  <property fmtid="{D5CDD505-2E9C-101B-9397-08002B2CF9AE}" pid="4" name="LastSaved">
    <vt:filetime>2023-05-29T00:00:00Z</vt:filetime>
  </property>
  <property fmtid="{D5CDD505-2E9C-101B-9397-08002B2CF9AE}" pid="5" name="Producer">
    <vt:lpwstr>Microsoft® Word 2019</vt:lpwstr>
  </property>
</Properties>
</file>