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74" w:rsidRPr="00C90C54" w:rsidRDefault="00F31E74">
      <w:pPr>
        <w:rPr>
          <w:b/>
          <w:bCs/>
          <w:sz w:val="28"/>
          <w:szCs w:val="28"/>
          <w:u w:val="single"/>
        </w:rPr>
      </w:pPr>
      <w:r w:rsidRPr="00C90C54">
        <w:rPr>
          <w:b/>
          <w:bCs/>
          <w:sz w:val="28"/>
          <w:szCs w:val="28"/>
          <w:u w:val="single"/>
        </w:rPr>
        <w:t xml:space="preserve">1. VALENCIA DE UN ELEMENTO </w:t>
      </w:r>
    </w:p>
    <w:p w:rsidR="00F31E74" w:rsidRDefault="00F31E74">
      <w:r>
        <w:t xml:space="preserve">Por definición la valencia de un elemento para formar un compuesto es la capacidad de dicho elemento para combinarse con el hidrógeno y viene dada por el número de electrones captados, cedidos o compartidos por un átomo de dicho elemento cuando forma la molécula de un compuesto cualquiera. </w:t>
      </w:r>
    </w:p>
    <w:p w:rsidR="00F31E74" w:rsidRDefault="00F31E74">
      <w:r>
        <w:t>En los compuestos iónicos, la valencia viene indicada por los electrones que cede el metal o por los que toma el no metal y además coincide con la carga del ion estable, por lo que se le denomina electrovalencia. Ejemplo: La electrovalencia del K es +1, la del Mg es +2 (metales) La electrovalencia del Cl es –1, la del S es –2 (no metales).</w:t>
      </w:r>
    </w:p>
    <w:p w:rsidR="00202692" w:rsidRDefault="00F31E74">
      <w:r>
        <w:t>En los compuestos covalentes, la valencia de un átomo es igual al número de enlaces que forma, de esta manera en el metano (CH4), la valencia del carbono es 4 ya que el carbono forma cuatro enlaces con el hidrógeno.</w:t>
      </w:r>
    </w:p>
    <w:p w:rsidR="00C90C54" w:rsidRDefault="00C90C54">
      <w:r w:rsidRPr="00C90C54">
        <w:drawing>
          <wp:inline distT="0" distB="0" distL="0" distR="0">
            <wp:extent cx="4914900" cy="6057900"/>
            <wp:effectExtent l="0" t="0" r="0" b="0"/>
            <wp:docPr id="7" name="Imagen 7" descr="Resultado de imagen de cuadro valencias elementos quim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uadro valencias elementos quim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8345" r="10747" b="8067"/>
                    <a:stretch/>
                  </pic:blipFill>
                  <pic:spPr bwMode="auto">
                    <a:xfrm>
                      <a:off x="0" y="0"/>
                      <a:ext cx="49149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E74" w:rsidRPr="00C90C54" w:rsidRDefault="00F31E74" w:rsidP="00F31E74">
      <w:pPr>
        <w:rPr>
          <w:b/>
          <w:bCs/>
          <w:sz w:val="28"/>
          <w:szCs w:val="28"/>
          <w:u w:val="single"/>
        </w:rPr>
      </w:pPr>
      <w:r w:rsidRPr="00C90C54">
        <w:rPr>
          <w:b/>
          <w:bCs/>
          <w:sz w:val="28"/>
          <w:szCs w:val="28"/>
          <w:u w:val="single"/>
        </w:rPr>
        <w:lastRenderedPageBreak/>
        <w:t>2. ALGUNAS NORMAS ELEMENTALES PARA FORMULAR.</w:t>
      </w:r>
    </w:p>
    <w:p w:rsidR="00F31E74" w:rsidRDefault="00F31E74" w:rsidP="00F31E74">
      <w:r>
        <w:t>1. Se escribe siempre en primer lugar el símbolo del elemento o radical menos electronegativo (metal) y a continuación el más electronegativo (no metal).</w:t>
      </w:r>
    </w:p>
    <w:p w:rsidR="00F31E74" w:rsidRDefault="00F31E74" w:rsidP="00F31E74">
      <w:r>
        <w:t>Fluoruro de calcio Ca F</w:t>
      </w:r>
      <w:r w:rsidRPr="00F31E74">
        <w:rPr>
          <w:vertAlign w:val="subscript"/>
        </w:rPr>
        <w:t>2</w:t>
      </w:r>
    </w:p>
    <w:p w:rsidR="00F31E74" w:rsidRDefault="00F31E74" w:rsidP="00F31E74">
      <w:r>
        <w:t>2. Se piensa en las valencias con las que actúan los elementos que intervienen en la fórmula en cuestión</w:t>
      </w:r>
    </w:p>
    <w:p w:rsidR="00F31E74" w:rsidRDefault="00F31E74" w:rsidP="00F31E74">
      <w:r>
        <w:t>F -1                Ca+2</w:t>
      </w:r>
    </w:p>
    <w:p w:rsidR="00F31E74" w:rsidRDefault="00F31E74" w:rsidP="00F31E74">
      <w:r>
        <w:t>3. Se intercambian las valencias poniendo el número correspondiente como subíndice</w:t>
      </w:r>
    </w:p>
    <w:p w:rsidR="00F31E74" w:rsidRPr="00F31E74" w:rsidRDefault="00F31E74" w:rsidP="00F31E74">
      <w:r>
        <w:t>CaF</w:t>
      </w:r>
      <w:r w:rsidRPr="00F31E74">
        <w:rPr>
          <w:vertAlign w:val="subscript"/>
        </w:rPr>
        <w:t>2</w:t>
      </w:r>
      <w:r>
        <w:rPr>
          <w:vertAlign w:val="subscript"/>
        </w:rPr>
        <w:t xml:space="preserve"> </w:t>
      </w:r>
    </w:p>
    <w:p w:rsidR="00F31E74" w:rsidRDefault="00F31E74" w:rsidP="00F31E74">
      <w:r>
        <w:t>imagínate algo así, aunque la suma no es real:</w:t>
      </w:r>
    </w:p>
    <w:p w:rsidR="00F31E74" w:rsidRDefault="00F31E74" w:rsidP="00F31E74">
      <w:proofErr w:type="gramStart"/>
      <w:r>
        <w:t>Ca(</w:t>
      </w:r>
      <w:proofErr w:type="gramEnd"/>
      <w:r>
        <w:t>+2)  + 2* F( -1) =  CaF</w:t>
      </w:r>
      <w:r w:rsidRPr="00F31E74">
        <w:rPr>
          <w:vertAlign w:val="subscript"/>
        </w:rPr>
        <w:t>2</w:t>
      </w:r>
      <w:r>
        <w:t xml:space="preserve"> (se han intercambiado las valencias)</w:t>
      </w:r>
      <w:r>
        <w:cr/>
      </w:r>
    </w:p>
    <w:p w:rsidR="007562AA" w:rsidRDefault="007562AA" w:rsidP="00F31E74">
      <w:pPr>
        <w:rPr>
          <w:b/>
          <w:bCs/>
          <w:sz w:val="28"/>
          <w:szCs w:val="28"/>
          <w:u w:val="single"/>
        </w:rPr>
      </w:pPr>
      <w:r w:rsidRPr="00C90C54">
        <w:rPr>
          <w:b/>
          <w:bCs/>
          <w:sz w:val="28"/>
          <w:szCs w:val="28"/>
          <w:u w:val="single"/>
        </w:rPr>
        <w:t xml:space="preserve">3.COMBINACIONES BINARIAS </w:t>
      </w:r>
    </w:p>
    <w:p w:rsidR="00C90C54" w:rsidRPr="00C90C54" w:rsidRDefault="00C90C54" w:rsidP="00F31E74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7DE4D44" wp14:editId="06471E85">
            <wp:extent cx="5448300" cy="1905000"/>
            <wp:effectExtent l="0" t="0" r="0" b="0"/>
            <wp:docPr id="1" name="Imagen 1" descr="Resultado de imagen de formulacion inorganica 2 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ormulacion inorganica 2 es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98"/>
                    <a:stretch/>
                  </pic:blipFill>
                  <pic:spPr bwMode="auto">
                    <a:xfrm>
                      <a:off x="0" y="0"/>
                      <a:ext cx="5448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C54" w:rsidRDefault="00C90C54" w:rsidP="00F31E74">
      <w:pPr>
        <w:rPr>
          <w:b/>
          <w:bCs/>
          <w:sz w:val="28"/>
          <w:szCs w:val="28"/>
          <w:u w:val="single"/>
        </w:rPr>
      </w:pPr>
    </w:p>
    <w:p w:rsidR="00F31E74" w:rsidRPr="00C90C54" w:rsidRDefault="00F31E74" w:rsidP="00F31E74">
      <w:pPr>
        <w:rPr>
          <w:b/>
          <w:bCs/>
          <w:sz w:val="28"/>
          <w:szCs w:val="28"/>
          <w:u w:val="single"/>
        </w:rPr>
      </w:pPr>
      <w:r w:rsidRPr="00C90C54">
        <w:rPr>
          <w:b/>
          <w:bCs/>
          <w:sz w:val="28"/>
          <w:szCs w:val="28"/>
          <w:u w:val="single"/>
        </w:rPr>
        <w:t xml:space="preserve">con el Oxígeno. </w:t>
      </w:r>
    </w:p>
    <w:p w:rsidR="00F31E74" w:rsidRDefault="00F31E74" w:rsidP="00F31E74">
      <w:r w:rsidRPr="00F31E74">
        <w:t>Las combinaciones binarias del oxígeno con los metales se denominan óxidos básicos o simplemente óxidos. Las combinaciones binarias del oxígeno con los no metales se denominan óxidos ácidos o anhídridos.</w:t>
      </w:r>
    </w:p>
    <w:p w:rsidR="00F31E74" w:rsidRDefault="00F31E74" w:rsidP="00F31E74">
      <w:r w:rsidRPr="007562AA">
        <w:rPr>
          <w:b/>
          <w:bCs/>
        </w:rPr>
        <w:t>ÓXIDOS</w:t>
      </w:r>
      <w:r w:rsidRPr="00F31E74">
        <w:t xml:space="preserve"> Para formular estos compuestos tenemos que recordar que el Oxígeno siempre actúa con valencia (-2), además tenemos que tener presente las valencias de los metales y las de los no metales. </w:t>
      </w:r>
    </w:p>
    <w:p w:rsidR="00C90C54" w:rsidRDefault="00C90C54" w:rsidP="00F31E74"/>
    <w:p w:rsidR="007562AA" w:rsidRPr="00C90C54" w:rsidRDefault="007562AA" w:rsidP="007562AA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prefijos numerales multiplicativos</w:t>
      </w:r>
    </w:p>
    <w:p w:rsidR="007562AA" w:rsidRPr="007562AA" w:rsidRDefault="007562AA" w:rsidP="007562AA">
      <w:pPr>
        <w:spacing w:after="0" w:line="240" w:lineRule="auto"/>
        <w:rPr>
          <w:rFonts w:ascii="Verdana_xr" w:eastAsia="Times New Roman" w:hAnsi="Verdana_xr" w:cs="Times New Roman"/>
          <w:color w:val="191919"/>
          <w:sz w:val="29"/>
          <w:szCs w:val="2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•Se escribe el elemento más electronegativo a la derecha (es el primero que se indica en el nombre) y el otro elemento a la izquierda. En ambos casos, se escribirá un subíndice que vendrá dado por el prefijo multiplicador que aparece en el nombre precediendo a cada elemento</w:t>
      </w:r>
      <w:r w:rsidRPr="007562AA">
        <w:rPr>
          <w:rFonts w:ascii="Arial" w:eastAsia="Times New Roman" w:hAnsi="Arial" w:cs="Arial"/>
          <w:color w:val="191919"/>
          <w:sz w:val="29"/>
          <w:szCs w:val="29"/>
          <w:lang w:eastAsia="es-ES"/>
        </w:rPr>
        <w:t xml:space="preserve">. </w:t>
      </w:r>
    </w:p>
    <w:p w:rsidR="007562AA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lastRenderedPageBreak/>
        <w:drawing>
          <wp:inline distT="0" distB="0" distL="0" distR="0" wp14:anchorId="4A7C31C2" wp14:editId="198DC635">
            <wp:extent cx="3705225" cy="6762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62A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2E1EA42" wp14:editId="3FE4BB05">
            <wp:extent cx="3648075" cy="7048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562AA" w:rsidRPr="007562AA" w:rsidRDefault="007562AA" w:rsidP="0075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el número de oxidación</w:t>
      </w: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•Como ya sabes, el elemento más electronegativo (el primero que se lee en el nombre) se coloca a la derecha, y el otro a la izquierda. Los subíndices vienen dados por los números de oxidación de ambos elementos, pero intercambiados entre sí. Finalmente, si es posible, se simplifica el resultado.</w:t>
      </w:r>
    </w:p>
    <w:p w:rsidR="00701E7C" w:rsidRPr="007562AA" w:rsidRDefault="00701E7C" w:rsidP="007562AA">
      <w:pPr>
        <w:spacing w:after="0" w:line="240" w:lineRule="auto"/>
        <w:rPr>
          <w:rFonts w:ascii="Verdana_xr" w:eastAsia="Times New Roman" w:hAnsi="Verdana_xr" w:cs="Times New Roman"/>
          <w:color w:val="191919"/>
          <w:sz w:val="29"/>
          <w:szCs w:val="29"/>
          <w:lang w:eastAsia="es-ES"/>
        </w:rPr>
      </w:pPr>
    </w:p>
    <w:p w:rsidR="00F31E74" w:rsidRDefault="007562AA" w:rsidP="007562AA">
      <w:r w:rsidRPr="007562A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40F476C" wp14:editId="295BEB62">
            <wp:extent cx="6010275" cy="6572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2A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933DC9D" wp14:editId="641371A1">
            <wp:extent cx="6010275" cy="93345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2AA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5A35FD4" wp14:editId="11556945">
            <wp:extent cx="6010275" cy="62865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E74" w:rsidRDefault="00F31E74" w:rsidP="00F31E74"/>
    <w:p w:rsidR="00F31E74" w:rsidRPr="00C90C54" w:rsidRDefault="00701E7C" w:rsidP="00F31E74">
      <w:pPr>
        <w:rPr>
          <w:rStyle w:val="xrtl"/>
          <w:rFonts w:cstheme="minorHAnsi"/>
          <w:color w:val="191919"/>
        </w:rPr>
      </w:pPr>
      <w:r w:rsidRPr="00C90C54">
        <w:rPr>
          <w:rFonts w:eastAsia="Times New Roman" w:cstheme="minorHAnsi"/>
          <w:color w:val="191919"/>
          <w:lang w:eastAsia="es-ES"/>
        </w:rPr>
        <w:t>•</w:t>
      </w:r>
      <w:r w:rsidR="007562AA" w:rsidRPr="00C90C54">
        <w:rPr>
          <w:rStyle w:val="xrtl"/>
          <w:rFonts w:cstheme="minorHAnsi"/>
          <w:color w:val="191919"/>
        </w:rPr>
        <w:t>Los prefijos multiplicadores te indican el subíndice que corresponde a cada elemento. Sino hay prefijo, o el prefijo es mono, el subíndice es 1, y no se indica.</w:t>
      </w: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031126C5" wp14:editId="017E3222">
            <wp:extent cx="3733800" cy="676275"/>
            <wp:effectExtent l="0" t="0" r="0" b="952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3C" w:rsidRPr="00C90C54" w:rsidRDefault="00744B3C" w:rsidP="007562AA">
      <w:pPr>
        <w:spacing w:after="0" w:line="240" w:lineRule="auto"/>
        <w:rPr>
          <w:rFonts w:eastAsia="Times New Roman" w:cstheme="minorHAnsi"/>
          <w:lang w:eastAsia="es-ES"/>
        </w:rPr>
      </w:pP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•También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puedes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escribir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cada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oxidación,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teniendo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cuenta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 oxígenoenunóxidoes"2-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”. Hecho </w:t>
      </w:r>
      <w:r w:rsidRPr="00C90C54">
        <w:rPr>
          <w:rFonts w:eastAsia="Times New Roman" w:cstheme="minorHAnsi"/>
          <w:color w:val="191919"/>
          <w:lang w:eastAsia="es-ES"/>
        </w:rPr>
        <w:t>esto,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escriben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fórmula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compuesto que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vienen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dados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por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estos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intercambiados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entre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sí</w:t>
      </w:r>
      <w:r w:rsidRPr="00C90C54">
        <w:rPr>
          <w:rFonts w:eastAsia="Times New Roman" w:cstheme="minorHAnsi"/>
          <w:color w:val="191919"/>
          <w:lang w:eastAsia="es-ES"/>
        </w:rPr>
        <w:t>,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simplifica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 xml:space="preserve">es posible. </w:t>
      </w:r>
    </w:p>
    <w:p w:rsidR="00744B3C" w:rsidRPr="00C90C54" w:rsidRDefault="00744B3C" w:rsidP="007562AA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578C9ACF" wp14:editId="18ED7287">
            <wp:extent cx="3667125" cy="704850"/>
            <wp:effectExtent l="0" t="0" r="9525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A" w:rsidRPr="00C90C54" w:rsidRDefault="007562AA" w:rsidP="007562AA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¿Y si no </w:t>
      </w:r>
      <w:r w:rsidRPr="00C90C54">
        <w:rPr>
          <w:rFonts w:eastAsia="Times New Roman" w:cstheme="minorHAnsi"/>
          <w:color w:val="191919"/>
          <w:lang w:eastAsia="es-ES"/>
        </w:rPr>
        <w:t>aparecen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prefijos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multiplicadores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ni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oxidación?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este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caso,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cuenta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 puede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ser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por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acompaña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al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oxígeno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solo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tiene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lastRenderedPageBreak/>
        <w:t>oxidación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posible. Por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tanto,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escribe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ambos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deduce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701E7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subíndices intercambiándolos. No olvides simplificar el resultado, siempre que sea posible.</w:t>
      </w:r>
    </w:p>
    <w:p w:rsidR="00701E7C" w:rsidRPr="00C90C54" w:rsidRDefault="00701E7C" w:rsidP="007562AA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562AA" w:rsidRPr="00C90C54" w:rsidRDefault="007562AA" w:rsidP="007562AA">
      <w:pPr>
        <w:rPr>
          <w:rFonts w:cstheme="minorHAnsi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137E3F68" wp14:editId="6847CAFF">
            <wp:extent cx="5905500" cy="742950"/>
            <wp:effectExtent l="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6D532B5B" wp14:editId="2854BD42">
            <wp:extent cx="5905500" cy="733425"/>
            <wp:effectExtent l="0" t="0" r="0" b="952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2AB33334" wp14:editId="453DC809">
            <wp:extent cx="5905500" cy="704850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562AA">
      <w:pPr>
        <w:rPr>
          <w:rFonts w:cstheme="minorHAnsi"/>
        </w:rPr>
      </w:pPr>
    </w:p>
    <w:p w:rsidR="00701E7C" w:rsidRDefault="00701E7C" w:rsidP="007562AA">
      <w:pPr>
        <w:rPr>
          <w:rFonts w:cstheme="minorHAnsi"/>
          <w:b/>
          <w:bCs/>
          <w:sz w:val="28"/>
          <w:szCs w:val="28"/>
          <w:u w:val="single"/>
        </w:rPr>
      </w:pPr>
      <w:r w:rsidRPr="00C90C54">
        <w:rPr>
          <w:rFonts w:cstheme="minorHAnsi"/>
          <w:b/>
          <w:bCs/>
          <w:sz w:val="28"/>
          <w:szCs w:val="28"/>
          <w:u w:val="single"/>
        </w:rPr>
        <w:t>Hidruros</w:t>
      </w:r>
    </w:p>
    <w:p w:rsidR="00C90C54" w:rsidRPr="00C90C54" w:rsidRDefault="00C90C54" w:rsidP="007562AA">
      <w:pPr>
        <w:rPr>
          <w:rFonts w:cstheme="minorHAnsi"/>
          <w:b/>
          <w:bCs/>
          <w:sz w:val="28"/>
          <w:szCs w:val="28"/>
          <w:u w:val="single"/>
        </w:rPr>
      </w:pPr>
    </w:p>
    <w:p w:rsidR="00744B3C" w:rsidRPr="00C90C54" w:rsidRDefault="00744B3C" w:rsidP="007562AA">
      <w:pPr>
        <w:rPr>
          <w:rFonts w:cstheme="minorHAnsi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1B66C06D" wp14:editId="4FF0D523">
            <wp:extent cx="4257675" cy="2667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•Son combinaciones binarias de dos elementos, uno de los cuales es el hidrógeno.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 xml:space="preserve">•Al escribir la fórmula, se debe colocar el elemento más electronegativo a la derecha, teniendo en cuenta la </w:t>
      </w:r>
      <w:hyperlink r:id="rId18" w:history="1">
        <w:r w:rsidRPr="00C90C54">
          <w:rPr>
            <w:rFonts w:eastAsia="Times New Roman" w:cstheme="minorHAnsi"/>
            <w:color w:val="00017F"/>
            <w:lang w:eastAsia="es-ES"/>
          </w:rPr>
          <w:t xml:space="preserve">secuencia de elementos </w:t>
        </w:r>
        <w:proofErr w:type="gramStart"/>
        <w:r w:rsidRPr="00C90C54">
          <w:rPr>
            <w:rFonts w:eastAsia="Times New Roman" w:cstheme="minorHAnsi"/>
            <w:color w:val="00017F"/>
            <w:lang w:eastAsia="es-ES"/>
          </w:rPr>
          <w:t xml:space="preserve">(  </w:t>
        </w:r>
        <w:proofErr w:type="gramEnd"/>
        <w:r w:rsidRPr="00C90C54">
          <w:rPr>
            <w:rFonts w:eastAsia="Times New Roman" w:cstheme="minorHAnsi"/>
            <w:color w:val="00017F"/>
            <w:lang w:eastAsia="es-ES"/>
          </w:rPr>
          <w:t xml:space="preserve">   )</w:t>
        </w:r>
      </w:hyperlink>
      <w:r w:rsidRPr="00C90C54">
        <w:rPr>
          <w:rFonts w:eastAsia="Times New Roman" w:cstheme="minorHAnsi"/>
          <w:color w:val="191919"/>
          <w:lang w:eastAsia="es-ES"/>
        </w:rPr>
        <w:t xml:space="preserve"> establecida por la IUPAC.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prefijos numerales multiplicativos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 xml:space="preserve">• Se escribe el elemento más electronegativo a la derecha (es el primero que se indica en el nombre) y el otro elemento a la izquierda. En ambos casos, se escribirá un subíndice que vendrá dado por el prefijo multiplicador que aparece en el nombre precediendo a cada elemento.  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56EEA0FE" wp14:editId="1BA32580">
            <wp:extent cx="3800475" cy="1666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el número de oxidación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Está </w:t>
      </w:r>
      <w:r w:rsidRPr="00C90C54">
        <w:rPr>
          <w:rFonts w:eastAsia="Times New Roman" w:cstheme="minorHAnsi"/>
          <w:color w:val="191919"/>
          <w:lang w:eastAsia="es-ES"/>
        </w:rPr>
        <w:t>nomenclatura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utiliza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para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indicar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acompaña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al hidrógeno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hidruro. En </w:t>
      </w:r>
      <w:r w:rsidRPr="00C90C54">
        <w:rPr>
          <w:rFonts w:eastAsia="Times New Roman" w:cstheme="minorHAnsi"/>
          <w:color w:val="191919"/>
          <w:lang w:eastAsia="es-ES"/>
        </w:rPr>
        <w:t>este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caso,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colocará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hidrógeno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derecha,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 viene dado por el número de oxidación del otro elemento.</w:t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noProof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lastRenderedPageBreak/>
        <w:drawing>
          <wp:inline distT="0" distB="0" distL="0" distR="0" wp14:anchorId="4C5F9E1E" wp14:editId="0B41B959">
            <wp:extent cx="3800475" cy="2562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44B3C" w:rsidRPr="00C90C54" w:rsidRDefault="00744B3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Pr="00C90C54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•Los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prefijos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multiplicadores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indican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corresponde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cada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 terminación"-uro"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debes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colocar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a </w:t>
      </w:r>
      <w:r w:rsidRPr="00C90C54">
        <w:rPr>
          <w:rFonts w:eastAsia="Times New Roman" w:cstheme="minorHAnsi"/>
          <w:color w:val="191919"/>
          <w:lang w:eastAsia="es-ES"/>
        </w:rPr>
        <w:t>derecha.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alguno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ellos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tiene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prefijo,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prefijo es mono,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 subíndice es 1, y no se indica.</w:t>
      </w:r>
    </w:p>
    <w:p w:rsidR="00701E7C" w:rsidRDefault="00701E7C" w:rsidP="00701E7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0AE73B1E" wp14:editId="3DF14AE9">
            <wp:extent cx="3714750" cy="1152525"/>
            <wp:effectExtent l="0" t="0" r="0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•Si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dispones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acompaña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hidrógeno,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sabes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 subíndice que debes colocarle al hidrógeno al escribir la fórmula.</w:t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01E7C" w:rsidRPr="00C90C54" w:rsidRDefault="00744B3C" w:rsidP="00701E7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75339A57" wp14:editId="57B4F8CF">
            <wp:extent cx="3714750" cy="1552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3C" w:rsidRPr="00C90C54" w:rsidRDefault="00744B3C" w:rsidP="00701E7C">
      <w:pPr>
        <w:spacing w:after="0" w:line="240" w:lineRule="auto"/>
        <w:rPr>
          <w:rFonts w:eastAsia="Times New Roman" w:cstheme="minorHAnsi"/>
          <w:lang w:eastAsia="es-ES"/>
        </w:rPr>
      </w:pPr>
    </w:p>
    <w:p w:rsidR="00701E7C" w:rsidRDefault="00701E7C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•Y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como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otros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casos,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aparece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nombre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ni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ningún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prefijo multiplicador,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deduce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Num_ox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acompaña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al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hidrógeno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utiliza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este</w:t>
      </w:r>
      <w:r w:rsidR="00744B3C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segundo método para estar seguro de formular el compuesto correctamente.</w:t>
      </w:r>
    </w:p>
    <w:p w:rsidR="00C90C54" w:rsidRPr="00C90C54" w:rsidRDefault="00C90C54" w:rsidP="00701E7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44B3C" w:rsidRDefault="00701E7C" w:rsidP="00701E7C">
      <w:pPr>
        <w:rPr>
          <w:rFonts w:eastAsia="Times New Roman" w:cstheme="minorHAnsi"/>
          <w:noProof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095AB300" wp14:editId="7791B261">
            <wp:extent cx="5400040" cy="644521"/>
            <wp:effectExtent l="0" t="0" r="0" b="381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Pr="00C90C54" w:rsidRDefault="00C90C54" w:rsidP="00701E7C">
      <w:pPr>
        <w:rPr>
          <w:rFonts w:eastAsia="Times New Roman" w:cstheme="minorHAnsi"/>
          <w:noProof/>
          <w:lang w:eastAsia="es-ES"/>
        </w:rPr>
      </w:pPr>
    </w:p>
    <w:p w:rsidR="00744B3C" w:rsidRPr="00C90C54" w:rsidRDefault="00C90C54" w:rsidP="00701E7C">
      <w:pPr>
        <w:rPr>
          <w:rFonts w:cstheme="minorHAnsi"/>
          <w:b/>
          <w:bCs/>
          <w:sz w:val="28"/>
          <w:szCs w:val="28"/>
          <w:u w:val="single"/>
        </w:rPr>
      </w:pPr>
      <w:r w:rsidRPr="00C90C54">
        <w:rPr>
          <w:rFonts w:cstheme="minorHAnsi"/>
          <w:b/>
          <w:bCs/>
          <w:sz w:val="28"/>
          <w:szCs w:val="28"/>
          <w:u w:val="single"/>
        </w:rPr>
        <w:lastRenderedPageBreak/>
        <w:t>SALES BINARIAS</w:t>
      </w:r>
    </w:p>
    <w:p w:rsidR="00744B3C" w:rsidRPr="00C90C54" w:rsidRDefault="00744B3C" w:rsidP="00701E7C">
      <w:pPr>
        <w:rPr>
          <w:rStyle w:val="xrtl"/>
          <w:rFonts w:cstheme="minorHAnsi"/>
          <w:color w:val="191919"/>
        </w:rPr>
      </w:pPr>
      <w:r w:rsidRPr="00C90C54">
        <w:rPr>
          <w:rStyle w:val="normaltext"/>
          <w:rFonts w:cstheme="minorHAnsi"/>
          <w:color w:val="191919"/>
        </w:rPr>
        <w:t>•</w:t>
      </w:r>
      <w:r w:rsidRPr="00C90C54">
        <w:rPr>
          <w:rStyle w:val="xrtl"/>
          <w:rFonts w:cstheme="minorHAnsi"/>
          <w:color w:val="191919"/>
        </w:rPr>
        <w:t>Son combinaciones binarias de dos elementos, uno de carácter metálico con otro no metálico.</w:t>
      </w:r>
    </w:p>
    <w:p w:rsidR="00744B3C" w:rsidRPr="00C90C54" w:rsidRDefault="00D262D8" w:rsidP="00701E7C">
      <w:pPr>
        <w:rPr>
          <w:rStyle w:val="xrtl"/>
          <w:rFonts w:cstheme="minorHAnsi"/>
          <w:color w:val="191919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218D07FF" wp14:editId="3A78891E">
            <wp:extent cx="4257675" cy="266700"/>
            <wp:effectExtent l="0" t="0" r="9525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prefijos numerales multiplicativos</w:t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 xml:space="preserve">•Se escribe el no metal a la derecha, por ser el elemento más electronegativo, y el metal a la izquierda. A cada uno de ellos, se le escribe un subíndice que vendrá dado por el prefijo multiplicador que aparece en el nombre precediendo a cada elemento. </w:t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D262D8" w:rsidRDefault="00D262D8" w:rsidP="00701E7C">
      <w:pPr>
        <w:rPr>
          <w:rStyle w:val="xrtl"/>
          <w:rFonts w:cstheme="minorHAnsi"/>
          <w:color w:val="191919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6E3F74DF" wp14:editId="13737152">
            <wp:extent cx="3971925" cy="1371600"/>
            <wp:effectExtent l="0" t="0" r="952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Pr="00C90C54" w:rsidRDefault="00C90C54" w:rsidP="00701E7C">
      <w:pPr>
        <w:rPr>
          <w:rStyle w:val="xrtl"/>
          <w:rFonts w:cstheme="minorHAnsi"/>
          <w:color w:val="191919"/>
        </w:rPr>
      </w:pPr>
    </w:p>
    <w:p w:rsidR="00744B3C" w:rsidRPr="00C90C54" w:rsidRDefault="00744B3C" w:rsidP="00744B3C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  <w:lang w:eastAsia="es-ES"/>
        </w:rPr>
      </w:pPr>
      <w:r w:rsidRPr="00C90C54">
        <w:rPr>
          <w:rFonts w:eastAsia="Times New Roman" w:cstheme="minorHAnsi"/>
          <w:b/>
          <w:bCs/>
          <w:color w:val="000000"/>
          <w:u w:val="single"/>
          <w:lang w:eastAsia="es-ES"/>
        </w:rPr>
        <w:t>A partir del nombre de composición con el número de oxidación</w:t>
      </w:r>
    </w:p>
    <w:p w:rsidR="00744B3C" w:rsidRPr="00C90C54" w:rsidRDefault="00744B3C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•Como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ya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has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visto,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más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="00C90C54" w:rsidRPr="00C90C54">
        <w:rPr>
          <w:rFonts w:eastAsia="Times New Roman" w:cstheme="minorHAnsi"/>
          <w:color w:val="191919"/>
          <w:lang w:eastAsia="es-ES"/>
        </w:rPr>
        <w:t>electronegativo (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primero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se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lee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="00C90C54" w:rsidRPr="00C90C54">
        <w:rPr>
          <w:rFonts w:eastAsia="Times New Roman" w:cstheme="minorHAnsi"/>
          <w:color w:val="191919"/>
          <w:lang w:eastAsia="es-ES"/>
        </w:rPr>
        <w:t>nombre) se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coloca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 la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derecha, y 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otro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izquierda.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vienen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dados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por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números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D262D8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 xml:space="preserve">de ambos </w:t>
      </w:r>
      <w:r w:rsidR="00D262D8" w:rsidRPr="00C90C54">
        <w:rPr>
          <w:rFonts w:eastAsia="Times New Roman" w:cstheme="minorHAnsi"/>
          <w:color w:val="191919"/>
          <w:lang w:eastAsia="es-ES"/>
        </w:rPr>
        <w:t>elementos,</w:t>
      </w:r>
      <w:r w:rsidRPr="00C90C54">
        <w:rPr>
          <w:rFonts w:eastAsia="Times New Roman" w:cstheme="minorHAnsi"/>
          <w:color w:val="191919"/>
          <w:lang w:eastAsia="es-ES"/>
        </w:rPr>
        <w:t xml:space="preserve"> pero intercambiados entre sí. Finalmente, si es posible, se simplifica el resultado.</w:t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34732A92" wp14:editId="41350353">
            <wp:extent cx="5400040" cy="1993265"/>
            <wp:effectExtent l="0" t="0" r="0" b="698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 xml:space="preserve">•Losprefijosmultiplicadoresteindicanelsubíndicequecorrespondeacadaelemento.Sinohay prefijo, o el prefijo es </w:t>
      </w:r>
      <w:r w:rsidR="00C36177" w:rsidRPr="00C90C54">
        <w:rPr>
          <w:rFonts w:eastAsia="Times New Roman" w:cstheme="minorHAnsi"/>
          <w:color w:val="191919"/>
          <w:lang w:eastAsia="es-ES"/>
        </w:rPr>
        <w:t>mono, el</w:t>
      </w:r>
      <w:r w:rsidRPr="00C90C54">
        <w:rPr>
          <w:rFonts w:eastAsia="Times New Roman" w:cstheme="minorHAnsi"/>
          <w:color w:val="191919"/>
          <w:lang w:eastAsia="es-ES"/>
        </w:rPr>
        <w:t xml:space="preserve"> subíndice es 1, y no se indica.</w:t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744B3C" w:rsidRPr="00C90C54" w:rsidRDefault="00744B3C" w:rsidP="00744B3C">
      <w:pPr>
        <w:spacing w:after="0" w:line="240" w:lineRule="auto"/>
        <w:rPr>
          <w:rFonts w:eastAsia="Times New Roman" w:cstheme="minorHAnsi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64EFEAF8" wp14:editId="27EECB57">
            <wp:extent cx="3724275" cy="1543050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lang w:eastAsia="es-ES"/>
        </w:rPr>
      </w:pP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•También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puedes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escribir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cada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oxidación,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y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deducir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subíndices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 fórmula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del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compuesto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intercambiando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estos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entre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proofErr w:type="spellStart"/>
      <w:r w:rsidRPr="00C90C54">
        <w:rPr>
          <w:rFonts w:eastAsia="Times New Roman" w:cstheme="minorHAnsi"/>
          <w:color w:val="191919"/>
          <w:lang w:eastAsia="es-ES"/>
        </w:rPr>
        <w:t>si</w:t>
      </w:r>
      <w:proofErr w:type="spellEnd"/>
      <w:r w:rsidRPr="00C90C54">
        <w:rPr>
          <w:rFonts w:eastAsia="Times New Roman" w:cstheme="minorHAnsi"/>
          <w:color w:val="191919"/>
          <w:lang w:eastAsia="es-ES"/>
        </w:rPr>
        <w:t>,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simplificando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si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 xml:space="preserve">es posible. </w:t>
      </w: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</w:p>
    <w:p w:rsidR="00D262D8" w:rsidRPr="00C90C54" w:rsidRDefault="00D262D8" w:rsidP="00D262D8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4565DBC1" wp14:editId="6FAC4630">
            <wp:extent cx="5400040" cy="1390015"/>
            <wp:effectExtent l="0" t="0" r="0" b="63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D8" w:rsidRPr="00C90C54" w:rsidRDefault="00D262D8" w:rsidP="00744B3C">
      <w:pPr>
        <w:spacing w:after="0" w:line="240" w:lineRule="auto"/>
        <w:rPr>
          <w:rFonts w:eastAsia="Times New Roman" w:cstheme="minorHAnsi"/>
          <w:lang w:eastAsia="es-ES"/>
        </w:rPr>
      </w:pPr>
    </w:p>
    <w:p w:rsidR="00C90C54" w:rsidRPr="00C90C54" w:rsidRDefault="00744B3C" w:rsidP="00744B3C">
      <w:pPr>
        <w:spacing w:after="0" w:line="240" w:lineRule="auto"/>
        <w:rPr>
          <w:rFonts w:eastAsia="Times New Roman" w:cstheme="minorHAnsi"/>
          <w:color w:val="191919"/>
          <w:lang w:eastAsia="es-ES"/>
        </w:rPr>
      </w:pPr>
      <w:r w:rsidRPr="00C90C54">
        <w:rPr>
          <w:rFonts w:eastAsia="Times New Roman" w:cstheme="minorHAnsi"/>
          <w:color w:val="191919"/>
          <w:lang w:eastAsia="es-ES"/>
        </w:rPr>
        <w:t>•Recuerda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sales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binarias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hay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elemento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que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actúa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="00C90C54" w:rsidRPr="00C90C54">
        <w:rPr>
          <w:rFonts w:eastAsia="Times New Roman" w:cstheme="minorHAnsi"/>
          <w:color w:val="191919"/>
          <w:lang w:eastAsia="es-ES"/>
        </w:rPr>
        <w:t>positivo (</w:t>
      </w:r>
      <w:r w:rsidRPr="00C90C54">
        <w:rPr>
          <w:rFonts w:eastAsia="Times New Roman" w:cstheme="minorHAnsi"/>
          <w:color w:val="191919"/>
          <w:lang w:eastAsia="es-ES"/>
        </w:rPr>
        <w:t>el metal)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combinado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otro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="00C90C54" w:rsidRPr="00C90C54">
        <w:rPr>
          <w:rFonts w:eastAsia="Times New Roman" w:cstheme="minorHAnsi"/>
          <w:color w:val="191919"/>
          <w:lang w:eastAsia="es-ES"/>
        </w:rPr>
        <w:t>negativo (</w:t>
      </w:r>
      <w:r w:rsidRPr="00C90C54">
        <w:rPr>
          <w:rFonts w:eastAsia="Times New Roman" w:cstheme="minorHAnsi"/>
          <w:color w:val="191919"/>
          <w:lang w:eastAsia="es-ES"/>
        </w:rPr>
        <w:t>el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metal).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Como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los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metales solo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poseen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un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único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número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de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oxidación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negativo,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basta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indicarlo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con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la</w:t>
      </w:r>
      <w:r w:rsidR="00C36177" w:rsidRPr="00C90C54">
        <w:rPr>
          <w:rFonts w:eastAsia="Times New Roman" w:cstheme="minorHAnsi"/>
          <w:color w:val="191919"/>
          <w:lang w:eastAsia="es-ES"/>
        </w:rPr>
        <w:t xml:space="preserve"> </w:t>
      </w:r>
      <w:r w:rsidRPr="00C90C54">
        <w:rPr>
          <w:rFonts w:eastAsia="Times New Roman" w:cstheme="minorHAnsi"/>
          <w:color w:val="191919"/>
          <w:lang w:eastAsia="es-ES"/>
        </w:rPr>
        <w:t>terminación"-</w:t>
      </w:r>
      <w:r w:rsidR="00C36177" w:rsidRPr="00C90C54">
        <w:rPr>
          <w:rFonts w:eastAsia="Times New Roman" w:cstheme="minorHAnsi"/>
          <w:color w:val="191919"/>
          <w:lang w:eastAsia="es-ES"/>
        </w:rPr>
        <w:t>uro “del</w:t>
      </w:r>
      <w:r w:rsidRPr="00C90C54">
        <w:rPr>
          <w:rFonts w:eastAsia="Times New Roman" w:cstheme="minorHAnsi"/>
          <w:color w:val="191919"/>
          <w:lang w:eastAsia="es-ES"/>
        </w:rPr>
        <w:t xml:space="preserve"> nombre.</w:t>
      </w:r>
    </w:p>
    <w:p w:rsidR="00C90C54" w:rsidRDefault="00C90C54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4B3C" w:rsidRDefault="00D262D8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0C54">
        <w:rPr>
          <w:rFonts w:eastAsia="Times New Roman" w:cstheme="minorHAnsi"/>
          <w:noProof/>
          <w:lang w:eastAsia="es-ES"/>
        </w:rPr>
        <w:drawing>
          <wp:inline distT="0" distB="0" distL="0" distR="0" wp14:anchorId="4C0EA0C2" wp14:editId="6839FDA1">
            <wp:extent cx="5400040" cy="661940"/>
            <wp:effectExtent l="0" t="0" r="0" b="508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54" w:rsidRDefault="00C90C54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0C54" w:rsidRPr="00744B3C" w:rsidRDefault="00C90C54" w:rsidP="0074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C90C54" w:rsidRPr="00744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_x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2F69"/>
    <w:multiLevelType w:val="hybridMultilevel"/>
    <w:tmpl w:val="21E6E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74"/>
    <w:rsid w:val="00202692"/>
    <w:rsid w:val="00701E7C"/>
    <w:rsid w:val="00744B3C"/>
    <w:rsid w:val="007562AA"/>
    <w:rsid w:val="00C36177"/>
    <w:rsid w:val="00C90C54"/>
    <w:rsid w:val="00D262D8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B187"/>
  <w15:chartTrackingRefBased/>
  <w15:docId w15:val="{6E9F3CDD-10FA-4334-A92B-1DE1617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1E74"/>
    <w:pPr>
      <w:ind w:left="720"/>
      <w:contextualSpacing/>
    </w:pPr>
  </w:style>
  <w:style w:type="character" w:customStyle="1" w:styleId="xrtl">
    <w:name w:val="xr_tl"/>
    <w:basedOn w:val="Fuentedeprrafopredeter"/>
    <w:rsid w:val="007562AA"/>
  </w:style>
  <w:style w:type="character" w:styleId="Hipervnculo">
    <w:name w:val="Hyperlink"/>
    <w:basedOn w:val="Fuentedeprrafopredeter"/>
    <w:uiPriority w:val="99"/>
    <w:unhideWhenUsed/>
    <w:rsid w:val="007562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2AA"/>
    <w:rPr>
      <w:color w:val="605E5C"/>
      <w:shd w:val="clear" w:color="auto" w:fill="E1DFDD"/>
    </w:rPr>
  </w:style>
  <w:style w:type="character" w:customStyle="1" w:styleId="normaltext">
    <w:name w:val="normal_text"/>
    <w:basedOn w:val="Fuentedeprrafopredeter"/>
    <w:rsid w:val="0074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javascript:xr_cpu(4)" TargetMode="External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1007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2</cp:revision>
  <dcterms:created xsi:type="dcterms:W3CDTF">2020-03-16T04:29:00Z</dcterms:created>
  <dcterms:modified xsi:type="dcterms:W3CDTF">2020-03-16T05:30:00Z</dcterms:modified>
</cp:coreProperties>
</file>