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B44" w:rsidRDefault="00892B44" w:rsidP="006A4E3B"/>
    <w:p w:rsidR="00892B44" w:rsidRDefault="00892B44" w:rsidP="006A4E3B">
      <w:pPr>
        <w:rPr>
          <w:rFonts w:ascii="Times New Roman"/>
          <w:sz w:val="26"/>
        </w:rPr>
      </w:pPr>
    </w:p>
    <w:p w:rsidR="00892B44" w:rsidRPr="006A4E3B" w:rsidRDefault="00000000" w:rsidP="006A4E3B">
      <w:pPr>
        <w:jc w:val="center"/>
        <w:rPr>
          <w:b/>
          <w:bCs/>
          <w:sz w:val="32"/>
          <w:szCs w:val="32"/>
          <w:u w:val="single"/>
        </w:rPr>
      </w:pPr>
      <w:r w:rsidRPr="006A4E3B">
        <w:rPr>
          <w:b/>
          <w:bCs/>
          <w:sz w:val="32"/>
          <w:szCs w:val="32"/>
          <w:u w:val="single"/>
        </w:rPr>
        <w:t>ASPECTOS</w:t>
      </w:r>
      <w:r w:rsidRPr="006A4E3B">
        <w:rPr>
          <w:b/>
          <w:bCs/>
          <w:spacing w:val="-7"/>
          <w:sz w:val="32"/>
          <w:szCs w:val="32"/>
          <w:u w:val="single"/>
        </w:rPr>
        <w:t xml:space="preserve"> </w:t>
      </w:r>
      <w:r w:rsidRPr="006A4E3B">
        <w:rPr>
          <w:b/>
          <w:bCs/>
          <w:sz w:val="32"/>
          <w:szCs w:val="32"/>
          <w:u w:val="single"/>
        </w:rPr>
        <w:t>GENERALES</w:t>
      </w:r>
      <w:r w:rsidRPr="006A4E3B">
        <w:rPr>
          <w:b/>
          <w:bCs/>
          <w:spacing w:val="-8"/>
          <w:sz w:val="32"/>
          <w:szCs w:val="32"/>
          <w:u w:val="single"/>
        </w:rPr>
        <w:t xml:space="preserve"> </w:t>
      </w:r>
      <w:r w:rsidRPr="006A4E3B">
        <w:rPr>
          <w:b/>
          <w:bCs/>
          <w:sz w:val="32"/>
          <w:szCs w:val="32"/>
          <w:u w:val="single"/>
        </w:rPr>
        <w:t>Y</w:t>
      </w:r>
      <w:r w:rsidRPr="006A4E3B">
        <w:rPr>
          <w:b/>
          <w:bCs/>
          <w:spacing w:val="-6"/>
          <w:sz w:val="32"/>
          <w:szCs w:val="32"/>
          <w:u w:val="single"/>
        </w:rPr>
        <w:t xml:space="preserve"> </w:t>
      </w:r>
      <w:r w:rsidRPr="006A4E3B">
        <w:rPr>
          <w:b/>
          <w:bCs/>
          <w:sz w:val="32"/>
          <w:szCs w:val="32"/>
          <w:u w:val="single"/>
        </w:rPr>
        <w:t>NORMAS</w:t>
      </w:r>
      <w:r w:rsidRPr="006A4E3B">
        <w:rPr>
          <w:b/>
          <w:bCs/>
          <w:spacing w:val="-10"/>
          <w:sz w:val="32"/>
          <w:szCs w:val="32"/>
          <w:u w:val="single"/>
        </w:rPr>
        <w:t xml:space="preserve"> </w:t>
      </w:r>
      <w:r w:rsidRPr="006A4E3B">
        <w:rPr>
          <w:b/>
          <w:bCs/>
          <w:sz w:val="32"/>
          <w:szCs w:val="32"/>
          <w:u w:val="single"/>
        </w:rPr>
        <w:t>DE</w:t>
      </w:r>
      <w:r w:rsidRPr="006A4E3B">
        <w:rPr>
          <w:b/>
          <w:bCs/>
          <w:spacing w:val="-6"/>
          <w:sz w:val="32"/>
          <w:szCs w:val="32"/>
          <w:u w:val="single"/>
        </w:rPr>
        <w:t xml:space="preserve"> </w:t>
      </w:r>
      <w:r w:rsidRPr="006A4E3B">
        <w:rPr>
          <w:b/>
          <w:bCs/>
          <w:sz w:val="32"/>
          <w:szCs w:val="32"/>
          <w:u w:val="single"/>
        </w:rPr>
        <w:t>FUNCIONAMIENTO PARA ALUMNADO DE ESPAÑOL PARA EXTRANJEROS</w:t>
      </w:r>
    </w:p>
    <w:p w:rsidR="00892B44" w:rsidRDefault="00892B44" w:rsidP="006A4E3B">
      <w:pPr>
        <w:rPr>
          <w:b/>
          <w:sz w:val="19"/>
        </w:rPr>
      </w:pPr>
    </w:p>
    <w:p w:rsidR="006A4E3B" w:rsidRDefault="006A4E3B" w:rsidP="006A4E3B">
      <w:pPr>
        <w:pStyle w:val="Ttulo2"/>
      </w:pPr>
    </w:p>
    <w:p w:rsidR="00892B44" w:rsidRDefault="00000000" w:rsidP="006A4E3B">
      <w:pPr>
        <w:pStyle w:val="Ttulo2"/>
      </w:pPr>
      <w:r>
        <w:t>Marco</w:t>
      </w:r>
      <w:r>
        <w:rPr>
          <w:spacing w:val="-3"/>
        </w:rPr>
        <w:t xml:space="preserve"> </w:t>
      </w:r>
      <w:r>
        <w:t>normativo</w:t>
      </w:r>
    </w:p>
    <w:p w:rsidR="00892B44" w:rsidRDefault="00892B44" w:rsidP="006A4E3B">
      <w:pPr>
        <w:rPr>
          <w:b/>
          <w:i/>
          <w:sz w:val="23"/>
        </w:rPr>
      </w:pPr>
    </w:p>
    <w:p w:rsidR="00892B44" w:rsidRPr="006A4E3B" w:rsidRDefault="006A4E3B" w:rsidP="006A4E3B">
      <w:pPr>
        <w:rPr>
          <w:szCs w:val="24"/>
        </w:rPr>
      </w:pPr>
      <w:r w:rsidRPr="006A4E3B">
        <w:rPr>
          <w:szCs w:val="24"/>
        </w:rPr>
        <w:t>Instrucciones de la dirección general de educación secundaria, formación profesional y régimen especial, sobre la organización y funcionamiento de los centros de educación de personas adultas, en el régimen presencial, semipresencial y a distancia, para el curso académico</w:t>
      </w:r>
      <w:r w:rsidR="00000000" w:rsidRPr="006A4E3B">
        <w:rPr>
          <w:spacing w:val="-1"/>
          <w:szCs w:val="24"/>
        </w:rPr>
        <w:t xml:space="preserve"> </w:t>
      </w:r>
      <w:r w:rsidR="00000000" w:rsidRPr="006A4E3B">
        <w:rPr>
          <w:szCs w:val="24"/>
        </w:rPr>
        <w:t>2022/2023.</w:t>
      </w:r>
    </w:p>
    <w:p w:rsidR="00892B44" w:rsidRDefault="00892B44" w:rsidP="006A4E3B">
      <w:pPr>
        <w:rPr>
          <w:sz w:val="32"/>
        </w:rPr>
      </w:pPr>
    </w:p>
    <w:p w:rsidR="00892B44" w:rsidRDefault="00000000" w:rsidP="006A4E3B">
      <w:pPr>
        <w:pStyle w:val="Ttulo2"/>
      </w:pPr>
      <w:r>
        <w:t>Definición</w:t>
      </w:r>
      <w:r>
        <w:rPr>
          <w:spacing w:val="-3"/>
        </w:rPr>
        <w:t xml:space="preserve"> </w:t>
      </w:r>
      <w:r>
        <w:t>y destinatarios</w:t>
      </w:r>
    </w:p>
    <w:p w:rsidR="006A4E3B" w:rsidRDefault="006A4E3B" w:rsidP="006A4E3B"/>
    <w:p w:rsidR="00892B44" w:rsidRDefault="00000000" w:rsidP="006A4E3B">
      <w:r>
        <w:t>Las enseñanzas de Español para Extranjeros se engloban dentro de la Enseñanza Básica para Personas Adultas y están destinadas para personas adultas de otros países que necesiten aprender español.</w:t>
      </w:r>
    </w:p>
    <w:p w:rsidR="00892B44" w:rsidRDefault="00000000" w:rsidP="006A4E3B">
      <w:r>
        <w:t>Los CEPA ofrecen cursos de Español para extranjeros para la adquisición de las competencias lingüísticas básicas y que posibiliten la obtención del título de Graduado en educación Secundaria Obligatoria.</w:t>
      </w:r>
    </w:p>
    <w:p w:rsidR="006A4E3B" w:rsidRDefault="006A4E3B" w:rsidP="006A4E3B">
      <w:pPr>
        <w:rPr>
          <w:rStyle w:val="Ttulo2Car"/>
        </w:rPr>
      </w:pPr>
    </w:p>
    <w:p w:rsidR="006A4E3B" w:rsidRDefault="00000000" w:rsidP="006A4E3B">
      <w:pPr>
        <w:rPr>
          <w:rStyle w:val="Ttulo2Car"/>
        </w:rPr>
      </w:pPr>
      <w:r w:rsidRPr="006A4E3B">
        <w:rPr>
          <w:rStyle w:val="Ttulo2Car"/>
        </w:rPr>
        <w:t>Funcionamiento dentro del centro</w:t>
      </w:r>
    </w:p>
    <w:p w:rsidR="006A4E3B" w:rsidRDefault="006A4E3B" w:rsidP="006A4E3B">
      <w:pPr>
        <w:rPr>
          <w:color w:val="006FC0"/>
          <w:spacing w:val="-2"/>
          <w:u w:val="single" w:color="006FC0"/>
        </w:rPr>
      </w:pPr>
    </w:p>
    <w:p w:rsidR="00892B44" w:rsidRPr="006A4E3B" w:rsidRDefault="00000000" w:rsidP="006A4E3B">
      <w:pPr>
        <w:rPr>
          <w:b/>
          <w:bCs/>
        </w:rPr>
      </w:pPr>
      <w:r w:rsidRPr="006A4E3B">
        <w:rPr>
          <w:b/>
          <w:bCs/>
          <w:spacing w:val="-2"/>
        </w:rPr>
        <w:t>Asistencia</w:t>
      </w:r>
    </w:p>
    <w:p w:rsidR="00892B44" w:rsidRDefault="00000000" w:rsidP="006A4E3B">
      <w:r>
        <w:t>Si un alumno falta debe justificarlo al profesor/a correspondiente, el tutor/a custodiará pertinentemente los documentos justificativos de la inasistencia.</w:t>
      </w:r>
    </w:p>
    <w:p w:rsidR="00892B44" w:rsidRDefault="00892B44" w:rsidP="006A4E3B">
      <w:pPr>
        <w:rPr>
          <w:sz w:val="28"/>
        </w:rPr>
      </w:pPr>
    </w:p>
    <w:p w:rsidR="00892B44" w:rsidRPr="006A4E3B" w:rsidRDefault="00000000" w:rsidP="006A4E3B">
      <w:pPr>
        <w:rPr>
          <w:b/>
          <w:bCs/>
          <w:spacing w:val="-2"/>
        </w:rPr>
      </w:pPr>
      <w:r w:rsidRPr="006A4E3B">
        <w:rPr>
          <w:b/>
          <w:bCs/>
          <w:spacing w:val="-2"/>
        </w:rPr>
        <w:t>Puntualidad</w:t>
      </w:r>
    </w:p>
    <w:p w:rsidR="00892B44" w:rsidRDefault="00000000" w:rsidP="006A4E3B">
      <w:r>
        <w:t>Los</w:t>
      </w:r>
      <w:r>
        <w:rPr>
          <w:spacing w:val="80"/>
        </w:rPr>
        <w:t xml:space="preserve"> </w:t>
      </w:r>
      <w:r>
        <w:t>alumnos</w:t>
      </w:r>
      <w:r>
        <w:rPr>
          <w:spacing w:val="80"/>
        </w:rPr>
        <w:t xml:space="preserve"> </w:t>
      </w:r>
      <w:r>
        <w:t>deben</w:t>
      </w:r>
      <w:r>
        <w:rPr>
          <w:spacing w:val="80"/>
        </w:rPr>
        <w:t xml:space="preserve"> </w:t>
      </w:r>
      <w:r>
        <w:t>acudir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puntualidad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clases,</w:t>
      </w:r>
      <w:r>
        <w:rPr>
          <w:spacing w:val="80"/>
        </w:rPr>
        <w:t xml:space="preserve"> </w:t>
      </w:r>
      <w:r>
        <w:t>actividades</w:t>
      </w:r>
      <w:r>
        <w:rPr>
          <w:spacing w:val="80"/>
        </w:rPr>
        <w:t xml:space="preserve"> </w:t>
      </w:r>
      <w:r>
        <w:t>complementarias</w:t>
      </w:r>
      <w:r>
        <w:rPr>
          <w:spacing w:val="78"/>
        </w:rPr>
        <w:t xml:space="preserve"> </w:t>
      </w:r>
      <w:r>
        <w:t xml:space="preserve">y </w:t>
      </w:r>
      <w:r>
        <w:rPr>
          <w:spacing w:val="-2"/>
        </w:rPr>
        <w:t>extraescolares.</w:t>
      </w:r>
    </w:p>
    <w:p w:rsidR="00892B44" w:rsidRDefault="00000000" w:rsidP="006A4E3B">
      <w:r>
        <w:t xml:space="preserve">Como criterio general </w:t>
      </w:r>
      <w:r>
        <w:rPr>
          <w:b/>
        </w:rPr>
        <w:t>no se podrá entrar en clase pasado un cuarto</w:t>
      </w:r>
      <w:r>
        <w:rPr>
          <w:b/>
          <w:spacing w:val="-2"/>
        </w:rPr>
        <w:t xml:space="preserve"> </w:t>
      </w:r>
      <w:r>
        <w:rPr>
          <w:b/>
        </w:rPr>
        <w:t xml:space="preserve">de hora </w:t>
      </w:r>
      <w:r>
        <w:t>desde su inicio, considerándose falta de asistencia. No obstante, queda a criterio del profesor, en casos excepcionales, el permitir o no la entrada.</w:t>
      </w:r>
    </w:p>
    <w:p w:rsidR="00892B44" w:rsidRDefault="00892B44" w:rsidP="006A4E3B">
      <w:pPr>
        <w:rPr>
          <w:sz w:val="28"/>
        </w:rPr>
      </w:pPr>
    </w:p>
    <w:p w:rsidR="00892B44" w:rsidRPr="006A4E3B" w:rsidRDefault="00000000" w:rsidP="006A4E3B">
      <w:pPr>
        <w:rPr>
          <w:b/>
          <w:bCs/>
          <w:spacing w:val="-2"/>
        </w:rPr>
      </w:pPr>
      <w:r w:rsidRPr="006A4E3B">
        <w:rPr>
          <w:b/>
          <w:bCs/>
          <w:spacing w:val="-2"/>
        </w:rPr>
        <w:t>Baja académica</w:t>
      </w:r>
    </w:p>
    <w:p w:rsidR="00892B44" w:rsidRDefault="00000000" w:rsidP="006A4E3B">
      <w:r>
        <w:t>El</w:t>
      </w:r>
      <w:r>
        <w:rPr>
          <w:spacing w:val="40"/>
        </w:rPr>
        <w:t xml:space="preserve"> </w:t>
      </w:r>
      <w:r>
        <w:t>alumno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t>solicitar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baja</w:t>
      </w:r>
      <w:r>
        <w:rPr>
          <w:spacing w:val="40"/>
        </w:rPr>
        <w:t xml:space="preserve"> </w:t>
      </w:r>
      <w:r>
        <w:t>académica</w:t>
      </w:r>
      <w:r>
        <w:rPr>
          <w:spacing w:val="40"/>
        </w:rPr>
        <w:t xml:space="preserve"> </w:t>
      </w:r>
      <w:r>
        <w:t>hasta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abril,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ello</w:t>
      </w:r>
      <w:r>
        <w:rPr>
          <w:spacing w:val="40"/>
        </w:rPr>
        <w:t xml:space="preserve"> </w:t>
      </w:r>
      <w:r>
        <w:t>debe</w:t>
      </w:r>
      <w:r>
        <w:rPr>
          <w:spacing w:val="40"/>
        </w:rPr>
        <w:t xml:space="preserve"> </w:t>
      </w:r>
      <w:r>
        <w:t>firmar</w:t>
      </w:r>
      <w:r>
        <w:rPr>
          <w:spacing w:val="40"/>
        </w:rPr>
        <w:t xml:space="preserve"> </w:t>
      </w:r>
      <w:r>
        <w:t>en Secretaría el correspondiente impreso, sin necesidad de que lo justifique de manera alguna.</w:t>
      </w:r>
    </w:p>
    <w:sectPr w:rsidR="00892B44" w:rsidSect="006A4E3B">
      <w:headerReference w:type="default" r:id="rId7"/>
      <w:footerReference w:type="default" r:id="rId8"/>
      <w:type w:val="continuous"/>
      <w:pgSz w:w="11910" w:h="16840" w:code="9"/>
      <w:pgMar w:top="1985" w:right="1077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FCD" w:rsidRDefault="000B7FCD" w:rsidP="006A4E3B">
      <w:r>
        <w:separator/>
      </w:r>
    </w:p>
  </w:endnote>
  <w:endnote w:type="continuationSeparator" w:id="0">
    <w:p w:rsidR="000B7FCD" w:rsidRDefault="000B7FCD" w:rsidP="006A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995922"/>
      <w:docPartObj>
        <w:docPartGallery w:val="Page Numbers (Bottom of Page)"/>
        <w:docPartUnique/>
      </w:docPartObj>
    </w:sdtPr>
    <w:sdtContent>
      <w:p w:rsidR="006A4E3B" w:rsidRDefault="006A4E3B">
        <w:pPr>
          <w:pStyle w:val="Piedepgina"/>
          <w:jc w:val="right"/>
        </w:pPr>
        <w:r>
          <w:rPr>
            <w:noProof/>
          </w:rPr>
          <w:drawing>
            <wp:inline distT="0" distB="0" distL="0" distR="0">
              <wp:extent cx="1257143" cy="371429"/>
              <wp:effectExtent l="0" t="0" r="635" b="0"/>
              <wp:docPr id="267194459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194459" name="Imagen 2671944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143" cy="3714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4E3B" w:rsidRDefault="006A4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FCD" w:rsidRDefault="000B7FCD" w:rsidP="006A4E3B">
      <w:r>
        <w:separator/>
      </w:r>
    </w:p>
  </w:footnote>
  <w:footnote w:type="continuationSeparator" w:id="0">
    <w:p w:rsidR="000B7FCD" w:rsidRDefault="000B7FCD" w:rsidP="006A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E3B" w:rsidRDefault="006A4E3B">
    <w:pPr>
      <w:pStyle w:val="Encabezado"/>
    </w:pPr>
    <w:r>
      <w:rPr>
        <w:noProof/>
      </w:rPr>
      <w:drawing>
        <wp:inline distT="0" distB="0" distL="0" distR="0">
          <wp:extent cx="6158865" cy="694055"/>
          <wp:effectExtent l="0" t="0" r="0" b="0"/>
          <wp:docPr id="19190454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45404" name="Imagen 1919045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86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626FE"/>
    <w:multiLevelType w:val="hybridMultilevel"/>
    <w:tmpl w:val="3510F78A"/>
    <w:lvl w:ilvl="0" w:tplc="0EAE6BE0">
      <w:start w:val="1"/>
      <w:numFmt w:val="decimal"/>
      <w:lvlText w:val="%1."/>
      <w:lvlJc w:val="left"/>
      <w:pPr>
        <w:ind w:left="7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471C4"/>
        <w:w w:val="100"/>
        <w:sz w:val="22"/>
        <w:szCs w:val="22"/>
        <w:lang w:val="es-ES" w:eastAsia="en-US" w:bidi="ar-SA"/>
      </w:rPr>
    </w:lvl>
    <w:lvl w:ilvl="1" w:tplc="EA22D220">
      <w:numFmt w:val="bullet"/>
      <w:lvlText w:val=""/>
      <w:lvlJc w:val="left"/>
      <w:pPr>
        <w:ind w:left="1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FC0"/>
        <w:w w:val="100"/>
        <w:sz w:val="24"/>
        <w:szCs w:val="24"/>
        <w:lang w:val="es-ES" w:eastAsia="en-US" w:bidi="ar-SA"/>
      </w:rPr>
    </w:lvl>
    <w:lvl w:ilvl="2" w:tplc="A7E21CC6">
      <w:numFmt w:val="bullet"/>
      <w:lvlText w:val="•"/>
      <w:lvlJc w:val="left"/>
      <w:pPr>
        <w:ind w:left="1787" w:hanging="360"/>
      </w:pPr>
      <w:rPr>
        <w:rFonts w:hint="default"/>
        <w:lang w:val="es-ES" w:eastAsia="en-US" w:bidi="ar-SA"/>
      </w:rPr>
    </w:lvl>
    <w:lvl w:ilvl="3" w:tplc="5464E8FE">
      <w:numFmt w:val="bullet"/>
      <w:lvlText w:val="•"/>
      <w:lvlJc w:val="left"/>
      <w:pPr>
        <w:ind w:left="2814" w:hanging="360"/>
      </w:pPr>
      <w:rPr>
        <w:rFonts w:hint="default"/>
        <w:lang w:val="es-ES" w:eastAsia="en-US" w:bidi="ar-SA"/>
      </w:rPr>
    </w:lvl>
    <w:lvl w:ilvl="4" w:tplc="E77AE386">
      <w:numFmt w:val="bullet"/>
      <w:lvlText w:val="•"/>
      <w:lvlJc w:val="left"/>
      <w:pPr>
        <w:ind w:left="3842" w:hanging="360"/>
      </w:pPr>
      <w:rPr>
        <w:rFonts w:hint="default"/>
        <w:lang w:val="es-ES" w:eastAsia="en-US" w:bidi="ar-SA"/>
      </w:rPr>
    </w:lvl>
    <w:lvl w:ilvl="5" w:tplc="3F946994">
      <w:numFmt w:val="bullet"/>
      <w:lvlText w:val="•"/>
      <w:lvlJc w:val="left"/>
      <w:pPr>
        <w:ind w:left="4869" w:hanging="360"/>
      </w:pPr>
      <w:rPr>
        <w:rFonts w:hint="default"/>
        <w:lang w:val="es-ES" w:eastAsia="en-US" w:bidi="ar-SA"/>
      </w:rPr>
    </w:lvl>
    <w:lvl w:ilvl="6" w:tplc="B754A53E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B5B67702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 w:tplc="02002158">
      <w:numFmt w:val="bullet"/>
      <w:lvlText w:val="•"/>
      <w:lvlJc w:val="left"/>
      <w:pPr>
        <w:ind w:left="7951" w:hanging="360"/>
      </w:pPr>
      <w:rPr>
        <w:rFonts w:hint="default"/>
        <w:lang w:val="es-ES" w:eastAsia="en-US" w:bidi="ar-SA"/>
      </w:rPr>
    </w:lvl>
  </w:abstractNum>
  <w:num w:numId="1" w16cid:durableId="5100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B44"/>
    <w:rsid w:val="000B7FCD"/>
    <w:rsid w:val="006A4E3B"/>
    <w:rsid w:val="008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DD02"/>
  <w15:docId w15:val="{5D76FB61-715F-478F-9728-A52650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3B"/>
    <w:pPr>
      <w:jc w:val="both"/>
    </w:pPr>
    <w:rPr>
      <w:rFonts w:eastAsia="Cambria" w:cs="Cambria"/>
      <w:sz w:val="24"/>
      <w:lang w:val="es-ES"/>
    </w:rPr>
  </w:style>
  <w:style w:type="paragraph" w:styleId="Ttulo1">
    <w:name w:val="heading 1"/>
    <w:basedOn w:val="Normal"/>
    <w:uiPriority w:val="9"/>
    <w:qFormat/>
    <w:pPr>
      <w:ind w:left="112" w:hanging="361"/>
      <w:outlineLvl w:val="0"/>
    </w:pPr>
    <w:rPr>
      <w:rFonts w:ascii="Cambria" w:hAnsi="Cambria"/>
      <w:b/>
      <w:bCs/>
      <w:i/>
      <w:iCs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E3B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99C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hAnsi="Cambria"/>
      <w:szCs w:val="24"/>
    </w:rPr>
  </w:style>
  <w:style w:type="paragraph" w:styleId="Ttulo">
    <w:name w:val="Title"/>
    <w:basedOn w:val="Normal"/>
    <w:uiPriority w:val="10"/>
    <w:qFormat/>
    <w:pPr>
      <w:spacing w:before="99"/>
      <w:ind w:left="1044" w:right="188" w:hanging="276"/>
    </w:pPr>
    <w:rPr>
      <w:rFonts w:ascii="Cambria" w:hAnsi="Cambria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756" w:hanging="361"/>
    </w:pPr>
    <w:rPr>
      <w:rFonts w:ascii="Cambria" w:hAnsi="Cambri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6A4E3B"/>
    <w:rPr>
      <w:rFonts w:ascii="Calibri" w:eastAsiaTheme="majorEastAsia" w:hAnsi="Calibri" w:cstheme="majorBidi"/>
      <w:b/>
      <w:color w:val="0099CD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A4E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E3B"/>
    <w:rPr>
      <w:rFonts w:eastAsia="Cambria" w:cs="Cambria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4E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E3B"/>
    <w:rPr>
      <w:rFonts w:eastAsia="Cambria" w:cs="Cambria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jose simancas</cp:lastModifiedBy>
  <cp:revision>2</cp:revision>
  <dcterms:created xsi:type="dcterms:W3CDTF">2023-05-29T07:56:00Z</dcterms:created>
  <dcterms:modified xsi:type="dcterms:W3CDTF">2023-05-29T08:01:00Z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  <property fmtid="{D5CDD505-2E9C-101B-9397-08002B2CF9AE}" pid="5" name="Producer">
    <vt:lpwstr>Microsoft® Word 2019</vt:lpwstr>
  </property>
</Properties>
</file>