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highlight w:val="cyan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cyan"/>
        </w:rPr>
        <w:t xml:space="preserve">📘 Economía - 4º ESO</w:t>
      </w:r>
      <w:r>
        <w:rPr>
          <w:highlight w:val="cy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TÍTULO ACTIVIDAD DE INFUSIONADO:</w:t>
        <w:br/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“Profesiones del futuro: ¿qué influye en nuestras decisiones económicas?”</w:t>
      </w:r>
      <w:r/>
    </w:p>
    <w:p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Materia y contenidos curriculares: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Economía – La toma de decisiones económicas y el mercado laboral.</w:t>
      </w:r>
      <w:r/>
    </w:p>
    <w:p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Nivel/curso: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4º ESO</w:t>
      </w:r>
      <w:r/>
    </w:p>
    <w:p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Objetivos de aprendizaje: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El alumnado será capaz de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analizar cómo influyen los factores económicos en la elección de una carrera profesional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desarrollando una visión crítica sobre la relación entre sus intereses personales, la demanda del mercado laboral y los salarios esperados.</w:t>
      </w:r>
      <w:r/>
    </w:p>
    <w:p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Competencias profesionales / LOMLOE:</w:t>
      </w:r>
      <w:r/>
    </w:p>
    <w:p>
      <w:pPr>
        <w:pStyle w:val="664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Competencia matemática y en ciencia, tecnología e ingeniería.</w:t>
      </w:r>
      <w:r/>
    </w:p>
    <w:p>
      <w:pPr>
        <w:pStyle w:val="664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Competencia emprendedora.</w:t>
      </w:r>
      <w:r/>
    </w:p>
    <w:p>
      <w:pPr>
        <w:pStyle w:val="664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Conciencia y expresión cultural.</w:t>
      </w:r>
      <w:r/>
    </w:p>
    <w:p>
      <w:pPr>
        <w:pStyle w:val="664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Competencia personal, social y de aprender a aprender.</w:t>
      </w:r>
      <w:r/>
    </w:p>
    <w:p>
      <w:pPr>
        <w:pStyle w:val="664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Sentido de la iniciativa y espíritu crítico.</w:t>
      </w:r>
      <w:r/>
    </w:p>
    <w:p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Ámbito profesional con el que se relaciona: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Orientación profesional y laboral, análisis de mercado, recursos humanos, planificación financiera, economía aplicada, emprendimiento.</w:t>
      </w:r>
      <w:r/>
    </w:p>
    <w:p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PROPUESTA DIDÁCTICA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Duración: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60 minutos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Enganche (5 minutos):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Se lanza una pregunta provocadora:</w:t>
        <w:br/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"¿Elegirías una profesión solo por lo que gana? ¿O hay algo más importante para ti?"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Breve lluvia de ideas con Mentimeter o pizarra digital.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Explicación (10 minutos):</w:t>
      </w:r>
      <w:r/>
    </w:p>
    <w:p>
      <w:pPr>
        <w:pStyle w:val="664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Breve repaso de conceptos: coste de oportunidad, salario, oferta y demanda laboral.</w:t>
      </w:r>
      <w:r/>
    </w:p>
    <w:p>
      <w:pPr>
        <w:pStyle w:val="664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Presentación de gráficos con profesiones en alza, salarios medios y nivel de empleabilidad en sectores diversos (tecnología, sanidad, energías verdes, humanidades…).</w:t>
      </w:r>
      <w:r/>
    </w:p>
    <w:p>
      <w:pPr>
        <w:pStyle w:val="664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Discusión guiada: ¿Por qué sube o baja la demanda de una profesión?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Práctica (30 minutos):</w:t>
      </w:r>
      <w:r/>
    </w:p>
    <w:p>
      <w:pPr>
        <w:pStyle w:val="664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En parejas o grupos pequeños, los alumnos eligen una profesión del listado proporcionado (o una que les interese).</w:t>
      </w:r>
      <w:r/>
    </w:p>
    <w:p>
      <w:pPr>
        <w:pStyle w:val="664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Investigan:</w:t>
      </w:r>
      <w:r/>
    </w:p>
    <w:p>
      <w:pPr>
        <w:pStyle w:val="664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Qué formación requiere.</w:t>
      </w:r>
      <w:r/>
    </w:p>
    <w:p>
      <w:pPr>
        <w:pStyle w:val="664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Nivel de demanda actual.</w:t>
      </w:r>
      <w:r/>
    </w:p>
    <w:p>
      <w:pPr>
        <w:pStyle w:val="664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Salario medio.</w:t>
      </w:r>
      <w:r/>
    </w:p>
    <w:p>
      <w:pPr>
        <w:pStyle w:val="664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Habilidades necesarias.</w:t>
      </w:r>
      <w:r/>
    </w:p>
    <w:p>
      <w:pPr>
        <w:pStyle w:val="664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Perspectivas de futuro.</w:t>
      </w:r>
      <w:r/>
    </w:p>
    <w:p>
      <w:pPr>
        <w:pStyle w:val="664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Elaboran una ficha con esa información y presentan un razonamiento sobre si les parece una buena elección personal y económica.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Evaluación (10 minutos):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Cada grupo expone brevemente su análisis.</w:t>
        <w:br/>
        <w:t xml:space="preserve"> El alumnado completa una autoevaluación rápida (rúbrica o escala Likert) sobre:</w:t>
      </w:r>
      <w:r/>
    </w:p>
    <w:p>
      <w:pPr>
        <w:pStyle w:val="664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Capacidad para aplicar conceptos económicos.</w:t>
      </w:r>
      <w:r/>
    </w:p>
    <w:p>
      <w:pPr>
        <w:pStyle w:val="664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Conexión entre datos y toma de decisiones.</w:t>
      </w:r>
      <w:r/>
    </w:p>
    <w:p>
      <w:pPr>
        <w:pStyle w:val="664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Participación y colaboración.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Cierre (5 minutos):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Se refuerza el concepto de que una buena decisión profesional requiere equilibrio entre vocación, realidad del mercado y formación continua.</w:t>
        <w:br/>
        <w:t xml:space="preserve"> Se anima a seguir explorando con herramientas como 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orientadores escolares, ferias de formación o visitas a empresas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Adaptaciones pedagógicas (diversidad):</w:t>
      </w:r>
      <w:r/>
    </w:p>
    <w:p>
      <w:pPr>
        <w:pStyle w:val="664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Gráficos adaptados y visuales para alumnado con dificultad en comprensión lectora.</w:t>
      </w:r>
      <w:r/>
    </w:p>
    <w:p>
      <w:pPr>
        <w:pStyle w:val="664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Uso de herramientas digitales como Canva o Genially para crear presentaciones si es necesario.</w:t>
      </w:r>
      <w:r/>
    </w:p>
    <w:p>
      <w:pPr>
        <w:pStyle w:val="664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Apoyo guiado por el docente para grupos con más necesidades.</w:t>
      </w:r>
      <w:r/>
    </w:p>
    <w:p>
      <w:pPr>
        <w:pStyle w:val="664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Evaluación flexible (oral, visual, escrita).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2025-05-06T16:12:01Z</dcterms:modified>
</cp:coreProperties>
</file>